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BayPflSchSachkV (Bayern) — Vorbereitung der Prüfung</w:t>
      </w:r>
    </w:p>
    <w:p>
      <w:r>
        <w:rPr>
          <w:color w:val="555555"/>
          <w:sz w:val="18"/>
        </w:rPr>
        <w:t xml:space="preserve">Pflanzenschutz-Sachkundeprüfungsverordnung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zuständige Behörde bestimmt den Prüfungstermin. Der Anmeldetermin sowie Ort und Zeitpunkt der Prüfung sind in geeigneter Weise rechtzeitig vorher bekanntzugeben.</w:t>
      </w:r>
    </w:p>
    <w:p>
      <w:r>
        <w:t xml:space="preserve">(2) Die Anmeldung zur Prüfung hat schriftlich bei der zuständigen Behörde zu erfolgen.</w:t>
      </w:r>
    </w:p>
    <w:p>
      <w:r>
        <w:rPr>
          <w:color w:val="555555"/>
          <w:sz w:val="17"/>
        </w:rPr>
        <w:t xml:space="preserve">Zitiervorschlag: § 2 BayPflSchSachkV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https://recht.nulegal.eu/gesetze/BayPflSchSachkV/2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