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BayPetG (Bayern) — Inkrafttreten</w:t>
      </w:r>
    </w:p>
    <w:p>
      <w:r>
        <w:rPr>
          <w:color w:val="555555"/>
          <w:sz w:val="18"/>
        </w:rPr>
        <w:t xml:space="preserve">Bayerisches Petitionsgesetz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September 1993 in Kraft.</w:t>
      </w:r>
    </w:p>
    <w:p>
      <w:r>
        <w:rPr>
          <w:color w:val="555555"/>
          <w:sz w:val="17"/>
        </w:rPr>
        <w:t xml:space="preserve">Zitiervorschlag: Art 8 BayPetG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https://recht.nulegal.eu/gesetze/BayPetG/8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