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BayPetG (Bayern) — Petitionsberechtigung</w:t>
      </w:r>
    </w:p>
    <w:p>
      <w:r>
        <w:rPr>
          <w:color w:val="555555"/>
          <w:sz w:val="18"/>
        </w:rPr>
        <w:t xml:space="preserve">Bayerisches Petitionsgesetz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Recht, sich schriftlich mit Eingaben und Beschwerden (Petitionen) an den Bayerischen Landtag zu wenden, damit dieser die vorgetragene Angelegenheit überprüfe, steht jeder Person zu, unabhängig von ihrem Wohnort und ihrer Staatsangehörigkeit.</w:t>
      </w:r>
    </w:p>
    <w:p>
      <w:r>
        <w:t xml:space="preserve">(2) Juristische Personen des Privatrechts sind uneingeschränkt petitionsberechtigt, juristische Personen des öffentlichen Rechts nur insoweit die Petition einen Gegenstand ihres sachlichen Zuständigkeitsbereichs betrifft.</w:t>
      </w:r>
    </w:p>
    <w:p>
      <w:r>
        <w:t xml:space="preserve">(3) Grundsätzlich sind auch Minderjährige, Geschäftsunfähige und unter Pflegschaft oder Betreuung Stehende zur selbständigen Ausübung des Petitionsrechts berechtigt.</w:t>
      </w:r>
    </w:p>
    <w:p>
      <w:r>
        <w:rPr>
          <w:color w:val="555555"/>
          <w:sz w:val="17"/>
        </w:rPr>
        <w:t xml:space="preserve">Zitiervorschlag: Art 1 BayPetG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https://recht.nulegal.eu/gesetze/BayPetG/1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