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BayPatAnwOBefUeVO (Bayern)</w:t>
      </w:r>
    </w:p>
    <w:p>
      <w:r>
        <w:rPr>
          <w:color w:val="555555"/>
          <w:sz w:val="18"/>
        </w:rPr>
        <w:t xml:space="preserve">Verordnung zur Übertragung von Befugnissen der Landesjustizverwaltung nach § 87 Abs. 2 der Patentanwaltsordnung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87 Abs. 2 der Patentanwaltsordnung vom 7. September 1966 (BGBl I S. 557), zuletzt geändert durch Art. 1 Nr. 13 des Gesetzes vom 19. Dezember 1998 (BGBl I S. 3836), erlässt das Bayerische Staatsministerium der Justiz folgende Verordnung:</w:t>
      </w:r>
    </w:p>
    <w:p>
      <w:r>
        <w:rPr>
          <w:color w:val="555555"/>
          <w:sz w:val="17"/>
        </w:rPr>
        <w:t xml:space="preserve">Zitiervorschlag: Eingangsformel BayPatAnwOBefUeVO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https://recht.nulegal.eu/gesetze/BayPatAnwOBefUeVO/eingangsformel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