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92 BayPVG (Bayern) — Dienststellen im Ausland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Dienststellen im Ausland gilt dieses Gesetz mit folgenden Abweichungen:</w:t>
      </w:r>
    </w:p>
    <w:p>
      <w:r>
        <w:t xml:space="preserve">1. Lokal Beschäftigte sind nicht Beschäftigte im Sinn des Art. 4;</w:t>
      </w:r>
    </w:p>
    <w:p>
      <w:r>
        <w:t xml:space="preserve">2. für gerichtliche Entscheidungen nach Art. 82 ist das Verwaltungsgericht zuständig, in dessen Bezirk die oberste Dienstbehörde ihren Sitz hat.</w:t>
      </w:r>
    </w:p>
    <w:p>
      <w:r>
        <w:rPr>
          <w:color w:val="555555"/>
          <w:sz w:val="17"/>
        </w:rPr>
        <w:t xml:space="preserve">Zitiervorschlag: Art 92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https://recht.nulegal.eu/gesetze/BayPVG/92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