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88 BayPVG (Bayern) — Gemeinsame Angelegenheiten von Richtern, Staatsanwälten und anderen Beschäftigten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In Angelegenheiten, die sowohl Richter oder Staatsanwälte als auch andere Beschäftigte des Gerichts bzw. der Staatsanwaltschaft betreffen (gemeinsame Angelegenheiten im Sinn des Art. 27 Abs. 5 und Art. 37 Abs. 1 des Bayerischen Richter- und Staatsanwaltsgesetzes – BayRiStAG), gilt Art. 34 mit folgender Maßgabe:</w:t>
      </w:r>
    </w:p>
    <w:p>
      <w:r>
        <w:t xml:space="preserve">1. Sind an einer Angelegenheit sowohl der Personalrat als auch der Richterrat (Staatsanwaltsrat) beteiligt, so teilt der Vorsitzende dem Richterrat (Staatsanwaltsrat) den entsprechenden Teil der Tagesordnung mit und gibt ihm Gelegenheit, Mitglieder in die Sitzung des Personalrats zu entsenden (Art. 32 Abs. 1 und 2 BayRiStAG).</w:t>
      </w:r>
    </w:p>
    <w:p>
      <w:r>
        <w:t xml:space="preserve">2. Der Vorsitzende des Personalrats hat auf Antrag des Richterrats (des Staatsanwaltsrats) oder des aufsichtführenden Richters des Gerichts (des Leiters der Staatsanwaltschaft) eine Sitzung des Personalrats anzuberaumen und die gemeinsame Angelegenheit, deren Beratung beantragt ist, auf die Tagesordnung zu setzen.</w:t>
      </w:r>
    </w:p>
    <w:p>
      <w:r>
        <w:rPr>
          <w:color w:val="555555"/>
          <w:sz w:val="17"/>
        </w:rPr>
        <w:t xml:space="preserve">Zitiervorschlag: Art 88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https://recht.nulegal.eu/gesetze/BayPVG/88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