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BayPVG (Bayern) — Bayerischer Jugendring; Bayerisches Rotes Kreuz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Beschäftigten des Bayerischen Jugendrings gilt dieses Gesetz mit der Maßgabe, daß die Untergliederungen des Bayerischen Jugendrings (Art. 32 Abs. 2 des Gesetzes zur Ausführung der Sozialgesetze) als selbständige Dienststellen gelten. Art. 55 findet keine Anwendung.</w:t>
      </w:r>
    </w:p>
    <w:p>
      <w:r>
        <w:t xml:space="preserve">(2) Für die Beschäftigten des Bayerischen Roten Kreuzes gilt dieses Gesetz mit der Maßgabe, dass die Kreis- und Bezirksverbände und die Landesgeschäftsstelle jeweils als selbstständige Dienststellen gelten und bei der Landesgeschäftsstelle ein Gesamtpersonalrat gebildet wird. Art. 6 Abs. 3 findet mit der Maßgabe Anwendung, dass nur durch Aufgabenbereich und Organisation eigenständige Nebenstellen und Teile der Dienststelle als selbstständige Dienststellen gelten können. Art. 55 findet keine Anwendung. Art. 1 Satz 2 des BRK-Gesetzes bleibt unberührt.</w:t>
      </w:r>
    </w:p>
    <w:p>
      <w:r>
        <w:rPr>
          <w:color w:val="555555"/>
          <w:sz w:val="17"/>
        </w:rPr>
        <w:t xml:space="preserve">Zitiervorschlag: Art 85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