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75a BayPVG (Bayern) — Mitbestimmung bei technischen Einrichtungen und automatisierten Verfahren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Personalrat hat, soweit eine gesetzliche oder tarifliche Regelung nicht besteht, mitzubestimmen bei</w:t>
      </w:r>
    </w:p>
    <w:p>
      <w:r>
        <w:t xml:space="preserve">1. Einführung, Anwendung und erheblicher Änderung technischer Einrichtungen zur Überwachung des Verhaltens oder der Leistung der Beschäftigten,</w:t>
      </w:r>
    </w:p>
    <w:p>
      <w:r>
        <w:t xml:space="preserve">2. Einführung, Anwendung und erheblicher Änderung von automatisierten Verfahren zur Personalverwaltung.</w:t>
      </w:r>
    </w:p>
    <w:p>
      <w:r>
        <w:t xml:space="preserve">(2) Der Personalrat ist von der Erteilung von Aufträgen für Organisationsuntersuchungen, die Maßnahmen nach Abs. 1 vorausgehen, rechtzeitig und umfassend zu unterrichten. Das Ergebnis dieser Organisationsuntersuchungen ist mit ihm zu erörtern.</w:t>
      </w:r>
    </w:p>
    <w:p>
      <w:r>
        <w:rPr>
          <w:color w:val="555555"/>
          <w:sz w:val="17"/>
        </w:rPr>
        <w:t xml:space="preserve">Zitiervorschlag: Art 75a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https://recht.nulegal.eu/gesetze/BayPVG/75a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