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61 BayPVG (Bayern) — Befugnisse</w:t>
      </w:r>
    </w:p>
    <w:p>
      <w:r>
        <w:rPr>
          <w:color w:val="555555"/>
          <w:sz w:val="18"/>
        </w:rPr>
        <w:t xml:space="preserve">Bayerisches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Befugnisse der Jugend- und Auszubildendenvertretung gegenüber dem Personalrat bestimmen sich nach Art. 34 Abs. 3, Art. 39 und 40.</w:t>
      </w:r>
    </w:p>
    <w:p>
      <w:r>
        <w:t xml:space="preserve">(2) Die Jugend- und Auszubildendenvertretung kann nach Verständigung des Personalrats Sitzungen abhalten; Art. 34 Abs. 1 und 2, Art. 35 Abs. 1 Satz 1 bis 3, Abs. 2 und Art. 37 gelten sinngemäß. Der Leiter der Dienststelle ist durch den Personalrat vom Zeitpunkt der Sitzung vorher zu verständigen. An den Sitzungen kann ein vom Personalrat beauftragtes Personalratsmitglied teilnehmen.</w:t>
      </w:r>
    </w:p>
    <w:p>
      <w:r>
        <w:rPr>
          <w:color w:val="555555"/>
          <w:sz w:val="17"/>
        </w:rPr>
        <w:t xml:space="preserve">Zitiervorschlag: Art 61 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https://recht.nulegal.eu/gesetze/BayPVG/61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