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50 BayPVG (Bayern) — Zeitpunkt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den Art. 20 bis 23 und in Art. 49 Abs. 1 bezeichneten und die auf Wunsch des Leiters der Dienststelle einberufenen Personalversammlungen finden während der Arbeitszeit statt, soweit nicht die dienstlichen Verhältnisse zwingend eine andere Regelung erfordern. Die Teilnahme an der Personalversammlung hat keine Minderung der Besoldung oder des Arbeitsentgelts zur Folge. Notwendige Fahrkosten werden nach den Vorschriften über Reisekostenvergütung der Beamten erstattet. Soweit in den Fällen des Satzes 1 Personalversammlungen aus dienstlichen Gründen außerhalb der Arbeitszeit stattfinden müssen, ist den Teilnehmern Dienstbefreiung in entsprechender Anwendung des Art. 87 Abs. 2 Satz 2 BayBG zu gewähren.</w:t>
      </w:r>
    </w:p>
    <w:p>
      <w:r>
        <w:t xml:space="preserve">(2) Andere Personalversammlungen finden außerhalb der Arbeitszeit statt. Hiervon kann im Einvernehmen mit dem Leiter der Dienststelle abgewichen werden.</w:t>
      </w:r>
    </w:p>
    <w:p>
      <w:r>
        <w:rPr>
          <w:color w:val="555555"/>
          <w:sz w:val="17"/>
        </w:rPr>
        <w:t xml:space="preserve">Zitiervorschlag: Art 50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