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BayPVG (Bayern) — Ordentliche und außerordentliche Personalversammlung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hat einmal in jedem Kalenderhalbjahr in einer Personalversammlung einen Tätigkeitsbericht zu erstatten.</w:t>
      </w:r>
    </w:p>
    <w:p>
      <w:r>
        <w:t xml:space="preserve">(2) Der Personalrat ist berechtigt und auf Wunsch des Leiters der Dienststelle oder eines Viertels der wahlberechtigten Beschäftigten verpflichtet, eine Personalversammlung einzuberufen und den Gegenstand, dessen Beratung beantragt ist, auf die Tagesordnung zu setzen.</w:t>
      </w:r>
    </w:p>
    <w:p>
      <w:r>
        <w:rPr>
          <w:color w:val="555555"/>
          <w:sz w:val="17"/>
        </w:rPr>
        <w:t xml:space="preserve">Zitiervorschlag: Art 49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