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BayPVG (Bayern) — Zusammensetzung und Leitung; Teilversammlung</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Personalversammlung besteht aus den Beschäftigten der Dienststelle. Sie wird vom Vorsitzenden des Personalrats geleitet. Sie ist nicht öffentlich. Die für Beschäftigte im Sinn des Art. 13 Abs. 1 Satz 2 geltenden arbeitsrechtlichen Regelungen bleiben unberührt.</w:t>
      </w:r>
    </w:p>
    <w:p>
      <w:r>
        <w:t xml:space="preserve">(2) Kann nach den dienstlichen Verhältnissen eine gemeinsame Versammlung aller Beschäftigten nicht stattfinden, so sind Teilversammlungen abzuhalten. Das Teilnahmerecht an den Teilversammlungen steht allen Mitgliedern des Personalrats sowie den Beschäftigten zu, für die sie abgehalten werden.</w:t>
      </w:r>
    </w:p>
    <w:p>
      <w:r>
        <w:t xml:space="preserve">(3) Der Personalrat kann die Personalversammlung im Einvernehmen mit der Dienststellenleitung ganz oder teilweise mittels Videokonferenz durchführen. Art. 35 Abs. 2 Satz 2 Nr. 1 und 3 sowie Satz 3 gilt entsprechend. Abs. 2 bleibt unberührt.</w:t>
      </w:r>
    </w:p>
    <w:p>
      <w:r>
        <w:rPr>
          <w:color w:val="555555"/>
          <w:sz w:val="17"/>
        </w:rPr>
        <w:t xml:space="preserve">Zitiervorschlag: Art 48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