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47 BayPVG (Bayern) — Besonderer Schutz bei Kündigung, Versetzung oder Abordnung</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Mitglieder des Personalrats, die in einem Arbeitsverhältnis stehen, gelten die §§ 15 und 16 des Kündigungsschutzgesetzes entsprechend.</w:t>
      </w:r>
    </w:p>
    <w:p>
      <w:r>
        <w:t xml:space="preserve">(2) Die außerordentliche Kündigung von Mitgliedern des Personalrats, die in einem Arbeitsverhältnis stehen, bedarf der Zustimmung des Personalrats. Verweigert der Personalrat seine Zustimmung oder äußert er sich nicht innerhalb von drei Tagen nach Eingang des Antrags, so kann das Verwaltungsgericht sie auf Antrag des Dienststellenleiters ersetzen, wenn die außerordentliche Kündigung unter Berücksichtigung aller Umstände gerechtfertigt ist. In dem Verfahren vor dem Verwaltungsgericht ist der betroffene Arbeitnehmer Beteiligter.</w:t>
      </w:r>
    </w:p>
    <w:p>
      <w:r>
        <w:t xml:space="preserve">(3) Mitglieder des Personalrats dürfen gegen ihren Willen nur versetzt oder abgeordnet werden, wenn dies auch unter Berücksichtigung der Mitgliedschaft im Personalrat aus wichtigen dienstlichen Gründen unvermeidbar ist. Als Versetzung im Sinn des Satzes 1 gilt auch die mit einem Wechsel des Dienstorts verbundene Umsetzung in derselben Dienststelle; das Einzugsgebiet im Sinn des Umzugskostenrechts gehört zum Dienstort. Die Versetzung oder Abordnung von Mitgliedern des Personalrats bedarf der Zustimmung des Personalrats; Abs. 2 Satz 2 und 3 gilt entsprechend mit der Maßgabe, daß für die Frist Art. 70 Abs. 2 Satz 3 bis 5 gilt.</w:t>
      </w:r>
    </w:p>
    <w:p>
      <w:r>
        <w:t xml:space="preserve">(4) Für Dienstanfänger, Beamte im Vorbereitungsdienst und Beschäftigte in entsprechender Berufsausbildung gelten die Abs. 1 bis 3 nicht. Die Abs. 2 und 3 gelten ferner nicht bei der Versetzung oder Abordnung dieser Beschäftigten zu einer anderen Dienststelle im Anschluß an das Ausbildungsverhältnis. Die Mitgliedschaft der in Satz 1 bezeichneten Beschäftigten im Personalrat ruht unbeschadet des Art. 29, solange sie entsprechend den Erfordernissen ihrer Ausbildung zu einer anderen Dienststelle versetzt oder abgeordnet sind.</w:t>
      </w:r>
    </w:p>
    <w:p>
      <w:r>
        <w:rPr>
          <w:color w:val="555555"/>
          <w:sz w:val="17"/>
        </w:rPr>
        <w:t xml:space="preserve">Zitiervorschlag: Art 47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https://recht.nulegal.eu/gesetze/BayPVG/47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