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BayPVG (Bayern) — Ehrenamt; Arbeitszeitversäumnis; Freistellung; Fortbildung</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Personalrats führen ihr Amt unentgeltlich als Ehrenamt.</w:t>
      </w:r>
    </w:p>
    <w:p>
      <w:r>
        <w:t xml:space="preserve">(2) Versäumnis von Arbeitszeit, die zur ordnungsgemäßen Durchführung der Aufgaben des Personalrats erforderlich ist, hat keine Minderung der Besoldung oder des Arbeitsentgelts zur Folge. Werden Personalratsmitglieder durch die Erfüllung ihrer Aufgaben über die regelmäßige Arbeitszeit hinaus erheblich mehr beansprucht, so ist ihnen Dienstbefreiung in entsprechender Anwendung des Art. 87 Abs. 2 Satz 2 BayBG zu gewähren. Bei Reisen, die zur Erfüllung ihrer Aufgaben notwendig sind, erhalten sie Freizeitausgleich entsprechend den für Beamte geltenden Regelungen.</w:t>
      </w:r>
    </w:p>
    <w:p>
      <w:r>
        <w:t xml:space="preserve">(3) Mitglieder des Personalrats sind auf Antrag des Personalrats von ihrer dienstlichen Tätigkeit freizustellen, wenn und soweit es nach Umfang und Art der Dienststelle zur ordnungsgemäßen Durchführung ihrer Aufgaben erforderlich ist. Bei der Auswahl der freizustellenden Mitglieder hat der Personalrat zunächst die nach Art. 32 Abs. 2 gewählten Vorstandsmitglieder, sodann die übrigen Vorstandsmitglieder zu berücksichtigen. Bei weiteren Freistellungen sind die im Personalrat vertretenen Wahlvorschlagslisten nach den Grundsätzen der Verhältniswahl zu berücksichtigen. Dabei sind die nach Satz 2 freigestellten Vorstandsmitglieder von den auf jede Wahlvorschlagsliste entfallenden Freistellungen abzurechnen. Die Freistellung darf nicht zur Beeinträchtigung des beruflichen Werdegangs führen.</w:t>
      </w:r>
    </w:p>
    <w:p>
      <w:r>
        <w:t xml:space="preserve">(4) Auf Antrag des Personalrats sind mindestens freizustellen in Dienststellen mit in der Regel</w:t>
      </w:r>
    </w:p>
    <w:p>
      <w:r>
        <w:t xml:space="preserve">400 bis 800</w:t>
      </w:r>
    </w:p>
    <w:p>
      <w:r>
        <w:t xml:space="preserve">Beschäftigten ein Personalratsmitglied,</w:t>
      </w:r>
    </w:p>
    <w:p>
      <w:r>
        <w:t xml:space="preserve">801 bis 1600</w:t>
      </w:r>
    </w:p>
    <w:p>
      <w:r>
        <w:t xml:space="preserve">Beschäftigten zwei Personalratsmitglieder,</w:t>
      </w:r>
    </w:p>
    <w:p>
      <w:r>
        <w:t xml:space="preserve">1601 bis 2400</w:t>
      </w:r>
    </w:p>
    <w:p>
      <w:r>
        <w:t xml:space="preserve">Beschäftigten drei Personalratsmitglieder.</w:t>
      </w:r>
    </w:p>
    <w:p>
      <w:r>
        <w:t xml:space="preserve">In Dienststellen mit über 2400 Beschäftigten ist für je angefangene 1500 Beschäftigte ein weiteres Personalratsmitglied ganz freizustellen. Eine entsprechende teilweise Freistellung mehrerer Mitglieder ist möglich.</w:t>
      </w:r>
    </w:p>
    <w:p>
      <w:r>
        <w:t xml:space="preserve">(5) Die Mitglieder des Personalrats und das jeweilige erste Ersatzmitglied sind unter Fortzahlung der Bezüge für die Teilnahme an Schulungs- und Bildungsveranstaltungen vom Dienst freizustellen, soweit diese Kenntnisse vermitteln, die unmittelbar für die Tätigkeit im Personalrat erforderlich sind; dabei sind die dienstlichen Interessen angemessen zu berücksichtigen. In der Regel umfaßt die Freistellung nach Satz 1</w:t>
      </w:r>
    </w:p>
    <w:p>
      <w:r>
        <w:t xml:space="preserve">1. bei erstmals in den Personalrat gewählten Mitgliedern fünf Kalendertage, die ganz oder teilweise auch in der unmittelbar folgenden Amtszeit in Anspruch genommen werden können,</w:t>
      </w:r>
    </w:p>
    <w:p>
      <w:r>
        <w:t xml:space="preserve">2. darüber hinaus bis zu fünf Kalendertage für Mitglieder des Personalrats, denen innerhalb ihrer Personalvertretung besondere in der Schulung zu behandelnde Aufgaben zugewiesen sind.</w:t>
      </w:r>
    </w:p>
    <w:p>
      <w:r>
        <w:t xml:space="preserve">Für die Teilnahme teilzeitbeschäftigter Personalratsmitglieder an Schulungs- und Bildungsveranstaltungen gilt Abs. 2 Satz 2 entsprechend.</w:t>
      </w:r>
    </w:p>
    <w:p>
      <w:r>
        <w:rPr>
          <w:color w:val="555555"/>
          <w:sz w:val="17"/>
        </w:rPr>
        <w:t xml:space="preserve">Zitiervorschlag: Art 46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