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BayPVG (Bayern) — Kostentragung; Geschäftsbedarf; Bekanntmachungen</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durch die Tätigkeit des Personalrats entstehenden Kosten trägt die Dienststelle. Mitglieder des Personalrats erhalten bei Reisen, die zur Erfüllung ihrer Aufgaben notwendig sind, Reisekostenvergütung nach den Vorschriften über die Reisekostenvergütung der Beamten mit der Maßgabe, daß die Reisekostenvergütung nach den für Beamte der Besoldungsgruppe A 15 geltenden Bestimmungen zu bemessen ist. Sie erhalten bei Reisen, die zur Erfüllung ihrer Aufgaben notwendig sind, auch Ersatz der Sachschäden an ihren privateigenen Kraftfahrzeugen in dem Umfang und bis zu der Höhe, wie er Beamten des Dienstherrn gewährt wird.</w:t>
      </w:r>
    </w:p>
    <w:p>
      <w:r>
        <w:t xml:space="preserve">(2) Für die Sitzungen, die Sprechstunden und die laufende Geschäftsführung hat die Dienststelle in erforderlichem Umfang Räume, den Geschäftsbedarf und, soweit erforderlich, Büropersonal zur Verfügung zu stellen.</w:t>
      </w:r>
    </w:p>
    <w:p>
      <w:r>
        <w:t xml:space="preserve">(3) Dem Personalrat werden in allen Dienststellen geeignete Plätze für Bekanntmachungen und Anschläge zur Verfügung gestellt und er kann sie in einem von der Dienststelle bereits eingerichteten Intranet veröffentlichen lassen.</w:t>
      </w:r>
    </w:p>
    <w:p>
      <w:r>
        <w:rPr>
          <w:color w:val="555555"/>
          <w:sz w:val="17"/>
        </w:rPr>
        <w:t xml:space="preserve">Zitiervorschlag: Art 44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