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BayPVG (Bayern) — Sprechstunden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Personalrat kann Sprechstunden während der Arbeitszeit einrichten. Zeit und Ort bestimmt er im Einvernehmen mit dem Leiter der Dienststelle. Die Geschäftsordnung kann die Durchführung der Sprechstunde mittels Video- oder Telefonkonferenz vorsehen. Art. 35 Abs. 2 Satz 2 Nr. 1 und 3 sowie Satz 3 gilt entsprechend.</w:t>
      </w:r>
    </w:p>
    <w:p>
      <w:r>
        <w:t xml:space="preserve">(2) An Sprechstunden des Personalrats kann ein Mitglied der Jugend- und Auszubildendenvertretung zur Beratung von Beschäftigten im Sinn von Art. 58 Abs. 1 teilnehmen, sofern die Jugend- und Auszubildendenvertretung keine eigenen Sprechstunden einrichtet; dies gilt entsprechend für die Schwerbehindertenvertretung.</w:t>
      </w:r>
    </w:p>
    <w:p>
      <w:r>
        <w:t xml:space="preserve">(3) Notwendige Versäumnis von Arbeitszeit wegen des Besuchs der Sprechstunden oder sonstiger Inanspruchnahme des Personalrats hat keine Minderung der Besoldung oder des Arbeitsentgelts zur Folge.</w:t>
      </w:r>
    </w:p>
    <w:p>
      <w:r>
        <w:rPr>
          <w:color w:val="555555"/>
          <w:sz w:val="17"/>
        </w:rPr>
        <w:t xml:space="preserve">Zitiervorschlag: Art 43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