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BayPVG (Bayern) — Sitzungen; Teilnahmerecht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Spätestens zwei Wochen nach dem Wahltag sind die Mitglieder des Personalrats durch den Wahlvorstand zur Vornahme der nach Art. 32 oder 33 vorgeschriebenen Wahlen einzuberufen und die Wahlen durchzuführen. Der Wahlvorstand leitet die Sitzung bis der Personalrat aus seiner Mitte einen Wahlleiter bestellt hat. Für die Anfechtung dieser Wahlen gilt Art. 25 entsprechend mit der Maßgabe, daß an Stelle der in Art. 25 Abs. 1 genannten drei Wahlberechtigten jedes Mitglied des Personalrats die Wahl anfechten kann.</w:t>
      </w:r>
    </w:p>
    <w:p>
      <w:r>
        <w:t xml:space="preserve">(2) Die weiteren Sitzungen beraumt der Vorsitzende des Personalrats an. Er setzt die Tagesordnung fest und leitet die Verhandlung. Er hat die Mitglieder des Personalrats zu den Sitzungen rechtzeitig unter Mitteilung der Tagesordnung zu laden sowie der Jugend- und Auszubildendenvertretung und der Schwerbehindertenvertretung den Zeitpunkt und die Tagesordnung der Sitzung bekanntzugeben.</w:t>
      </w:r>
    </w:p>
    <w:p>
      <w:r>
        <w:t xml:space="preserve">(3) Auf Antrag eines Viertels der Mitglieder des Personalrats, der Mehrheit der Vertreter einer Gruppe, des Leiters der Dienststelle, in Angelegenheiten, die besonders schwerbehinderte Menschen betreffen, der Schwerbehindertenvertretung oder in Angelegenheiten, die besonders Beschäftigte im Sinn von Art. 58 Abs. 1 betreffen, der Mehrheit der Mitglieder der Jugend- und Auszubildendenvertretung hat der Vorsitzende eine Sitzung anzuberaumen und den Gegenstand, dessen Beratung beantragt ist, auf die Tagesordnung zu setzen.</w:t>
      </w:r>
    </w:p>
    <w:p>
      <w:r>
        <w:t xml:space="preserve">(4) Der Leiter der Dienststelle nimmt an den Sitzungen, die auf sein Verlangen anberaumt sind, und an den Sitzungen, zu denen er ausdrücklich eingeladen ist, teil. Er kann einen Vertreter der für die Dienststelle zuständigen Arbeitgebervereinigung hinzuziehen; in diesem Fall ist je einem Vertreter der unter den Mitgliedern des Personalrats vertretenen Gewerkschaften die Teilnahme an den Sitzungen zu ermöglichen.</w:t>
      </w:r>
    </w:p>
    <w:p>
      <w:r>
        <w:rPr>
          <w:color w:val="555555"/>
          <w:sz w:val="17"/>
        </w:rPr>
        <w:t xml:space="preserve">Zitiervorschlag: Art 34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