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BayPVG (Bayern) — Erlöschen der Mitgliedschaft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Mitgliedschaft im Personalrat erlischt durch</w:t>
      </w:r>
    </w:p>
    <w:p>
      <w:r>
        <w:t xml:space="preserve">a) Ablauf der Amtszeit,</w:t>
      </w:r>
    </w:p>
    <w:p>
      <w:r>
        <w:t xml:space="preserve">b) Niederlegung des Amts,</w:t>
      </w:r>
    </w:p>
    <w:p>
      <w:r>
        <w:t xml:space="preserve">c) Beendigung des Dienstverhältnisses,</w:t>
      </w:r>
    </w:p>
    <w:p>
      <w:r>
        <w:t xml:space="preserve">d) Ausscheiden aus der Dienststelle,</w:t>
      </w:r>
    </w:p>
    <w:p>
      <w:r>
        <w:t xml:space="preserve">e) Verlust der Wählbarkeit,</w:t>
      </w:r>
    </w:p>
    <w:p>
      <w:r>
        <w:t xml:space="preserve">f) Ablauf von zwölf Monaten seit dem Eintritt in eine Beurlaubung unter Wegfall der Bezüge,</w:t>
      </w:r>
    </w:p>
    <w:p>
      <w:r>
        <w:t xml:space="preserve">g) gerichtliche Entscheidung nach Art. 28,</w:t>
      </w:r>
    </w:p>
    <w:p>
      <w:r>
        <w:t xml:space="preserve">h) Feststellung nach Ablauf der in Art. 25 bezeichneten Frist, daß der Gewählte nicht wählbar war.</w:t>
      </w:r>
    </w:p>
    <w:p>
      <w:r>
        <w:t xml:space="preserve">(2) Die Mitgliedschaft im Personalrat wird durch einen Wechsel der Gruppenzugehörigkeit eines Mitglieds nicht berührt; dieses bleibt Vertreter der Gruppe, die es gewählt hat.</w:t>
      </w:r>
    </w:p>
    <w:p>
      <w:r>
        <w:t xml:space="preserve">(3) Abs. 1 Buchst. c gilt nicht für betrieblich bedingte Unterbrechungen des Dienstverhältnisses.</w:t>
      </w:r>
    </w:p>
    <w:p>
      <w:r>
        <w:rPr>
          <w:color w:val="555555"/>
          <w:sz w:val="17"/>
        </w:rPr>
        <w:t xml:space="preserve">Zitiervorschlag: Art 29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