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BayPVG (Bayern) — Beginn und Dauer der regelmäßigen Amtszeit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regelmäßige Amtszeit des Personalrats beträgt fünf Jahre. Die Amtszeit beginnt mit dem Tag der Wahl oder, wenn zu diesem Zeitpunkt noch ein Personalrat besteht, mit dem Ablauf seiner Amtszeit.</w:t>
      </w:r>
    </w:p>
    <w:p>
      <w:r>
        <w:t xml:space="preserve">(2) Die Amtszeit des Personalrats endet am 31. Juli des Jahres, in dem nach Abs. 3 die regelmäßigen Personalratswahlen stattfinden.</w:t>
      </w:r>
    </w:p>
    <w:p>
      <w:r>
        <w:t xml:space="preserve">(3) Die regelmäßigen Personalratswahlen finden alle fünf Jahre in der Zeit vom 1. Mai bis 31. Juli statt.</w:t>
      </w:r>
    </w:p>
    <w:p>
      <w:r>
        <w:t xml:space="preserve">(4) Für die während der regelmäßigen Amtszeit gewählten Personalräte endet die Amtszeit am 31. Juli des Jahres, in dem die regelmäßigen Personalratswahlen stattfinden. Art. 27 Abs. 5 bleibt unberührt.</w:t>
      </w:r>
    </w:p>
    <w:p>
      <w:r>
        <w:rPr>
          <w:color w:val="555555"/>
          <w:sz w:val="17"/>
        </w:rPr>
        <w:t xml:space="preserve">Zitiervorschlag: Art 26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