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BayPVG (Bayern) — Abweichende Sitzverteilung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Verteilung der Mitglieder des Personalrats auf die Gruppen kann abweichend von Art. 17 geordnet werden, wenn jede Gruppe dies vor der Neuwahl in getrennter geheimer Abstimmung beschließt.</w:t>
      </w:r>
    </w:p>
    <w:p>
      <w:r>
        <w:t xml:space="preserve">(2) Für jede Gruppe können auch Angehörige anderer Gruppen vorgeschlagen werden. Die Gewählten gelten als Vertreter derjenigen Gruppe, für die sie vorgeschlagen worden sind.</w:t>
      </w:r>
    </w:p>
    <w:p>
      <w:r>
        <w:rPr>
          <w:color w:val="555555"/>
          <w:sz w:val="17"/>
        </w:rPr>
        <w:t xml:space="preserve">Zitiervorschlag: Art 18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