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BayPVG (Bayern) — Wählbarkeit in besonderen Fällen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Besteht die oberste Dienstbehörde oder die Dienststelle weniger als ein Jahr oder wird in ihr die Arbeit regelmäßig wiederkehrend unterbrochen, so bedarf es für die Wählbarkeit nicht der Voraussetzung des Art. 14 Abs. 1 Buchst. a.</w:t>
      </w:r>
    </w:p>
    <w:p>
      <w:r>
        <w:t xml:space="preserve">(2) Die Voraussetzung des Art. 14 Abs. 1 Buchst. b entfällt, wenn nicht mindestens fünfmal soviel wählbare Beschäftigte jeder Gruppe vorhanden wären, als nach den Art. 16 und 17 zu wählen sind.</w:t>
      </w:r>
    </w:p>
    <w:p>
      <w:r>
        <w:rPr>
          <w:color w:val="555555"/>
          <w:sz w:val="17"/>
        </w:rPr>
        <w:t xml:space="preserve">Zitiervorschlag: Art 15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