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BayPVG (Bayern) — Schweigepflicht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 die Aufgaben oder Befugnisse nach diesem Gesetz wahrgenommen haben oder wahrnehmen, haben über die ihnen dabei bekanntgewordenen Angelegenheiten und Tatsachen Stillschweigen zu bewahren. Abgesehen von den Fällen des Art. 69 Abs. 2 Satz 6 und Art. 93 gilt die Schweigepflicht nicht für</w:t>
      </w:r>
    </w:p>
    <w:p>
      <w:r>
        <w:t xml:space="preserve">1. die Mitglieder der Personalvertretung und der Jugend- und Auszubildendenvertretung gegenüber den übrigen Mitgliedern der Vertretung,</w:t>
      </w:r>
    </w:p>
    <w:p>
      <w:r>
        <w:t xml:space="preserve">2. die in Satz 1 bezeichneten Personen gegenüber der zuständigen Personalvertretung sowie der zuständigen Jugend- und Auszubildendenvertretung,</w:t>
      </w:r>
    </w:p>
    <w:p>
      <w:r>
        <w:t xml:space="preserve">3. den Personalrat gegenüber der vorgesetzten Dienststelle, gegenüber der bei ihr gebildeten Stufenvertretung und gegenüber dem Gesamtpersonalrat, wenn der Personalrat sie im Rahmen ihrer Befugnisse anruft,</w:t>
      </w:r>
    </w:p>
    <w:p>
      <w:r>
        <w:t xml:space="preserve">4. die Stufenvertretung und den Gesamtpersonalrat gegenüber dem Personalrat, dem nach Art. 80 Abs. 2 Satz 2 oder Abs. 3 Satz 3 Gelegenheit zur Äußerung gegeben wird,</w:t>
      </w:r>
    </w:p>
    <w:p>
      <w:r>
        <w:t xml:space="preserve">5. für die Anrufung der Einigungsstelle.</w:t>
      </w:r>
    </w:p>
    <w:p>
      <w:r>
        <w:t xml:space="preserve">(2) Die Schweigepflicht besteht nicht für Angelegenheiten oder Tatsachen, die offenkundig sind, ihrer Bedeutung nach keiner Geheimhaltung bedürfen oder wenn der Leiter der Dienststelle in begründeten Einzelfällen von der Einhaltung der Schweigepflicht entbindet.</w:t>
      </w:r>
    </w:p>
    <w:p>
      <w:r>
        <w:rPr>
          <w:color w:val="555555"/>
          <w:sz w:val="17"/>
        </w:rPr>
        <w:t xml:space="preserve">Zitiervorschlag: Art 10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