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BayOeffentlWegeV (Bayern)</w:t>
      </w:r>
    </w:p>
    <w:p>
      <w:r>
        <w:rPr>
          <w:color w:val="555555"/>
          <w:sz w:val="18"/>
        </w:rPr>
        <w:t xml:space="preserve">Verordnung über die Merkmale für ausgebaute öffentliche Feld- und Waldwege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54 Abs. 6 des Bayerischen Straßen- und Wegegesetzes (BayStrWG) erläßt das Bayerische Staatsministerium des Innern im Einvernehmen mit dem Bayerischen Staatsministerium für Ernährung, Landwirtschaft und Forsten folgende Verordnung:</w:t>
      </w:r>
    </w:p>
    <w:p>
      <w:r>
        <w:rPr>
          <w:color w:val="555555"/>
          <w:sz w:val="17"/>
        </w:rPr>
        <w:t xml:space="preserve">Zitiervorschlag: Eingangsformel BayOeffentlWegeV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https://recht.nulegal.eu/gesetze/BayOeffentlWegeV/eingangsformel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BayOeffentlWegeV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