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BayNdsArchVersStV (Bayern) — Aufsicht</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die Bayerische Architektenversorgung wird im Benehmen mit dem Niedersächsischen Ministerium für Wirtschaft, Technologie und Verkehr wahrgenommen, soweit Belange der Mitglieder aus dem Land Niedersachsen oder der dort wohnhaften Versorgungsberechtigten berührt sein können.</w:t>
      </w:r>
    </w:p>
    <w:p>
      <w:r>
        <w:t xml:space="preserve">(2) Die Bayerische Architektenversorgung leitet dem Niedersächsischen Ministerium für Wirtschaft, Technologie und Verkehr die Geschäftsberichte, Jahresrechnungen und die Abschlußerklärungen des Bayerischen Obersten Rechnungshofes über die Prüfungen der Bayerischen Architektenversorgung zu.</w:t>
      </w:r>
    </w:p>
    <w:p>
      <w:r>
        <w:t xml:space="preserve">(3) Für die Versicherungsaufsicht gilt das Recht des Sitzlandes.</w:t>
      </w:r>
    </w:p>
    <w:p>
      <w:r>
        <w:rPr>
          <w:color w:val="555555"/>
          <w:sz w:val="17"/>
        </w:rPr>
        <w:t xml:space="preserve">Zitiervorschlag: Art 7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