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BayNdsArchVersStV (Bayern) — Beitrag</w:t>
      </w:r>
    </w:p>
    <w:p>
      <w:r>
        <w:rPr>
          <w:color w:val="555555"/>
          <w:sz w:val="18"/>
        </w:rPr>
        <w:t xml:space="preserve">Staatsvertrag zwischen dem Freistaat Bayern und dem Land Niedersachsen über die Zugehörigkeit der freischaffenden (freiberuflich tätigen) und beamteten Architekten des Landes Niedersachsen zur Bayerischen Architektenversorgung Vom 23. Oktober/24. November 1978</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freischaffende (freiberuflich tätige) Mitglieder gilt über die Satzung der Bayerischen Architektenversorgung hinaus:</w:t>
      </w:r>
    </w:p>
    <w:p>
      <w:r>
        <w:t xml:space="preserve">1. Auf schriftlichen Antrag bei der Bayerischen Versicherungskammer wird der satzungsgemäße, sich ausschließlich auf der Grundlage des erzielten Einkommens errechnende Beitrag um folgende, im jeweiligen Kalenderjahr tatsächlich erbrachte Aufwendungen bis zur Höhe des satzungsgemäßen Mindestbeitrages ermäßigt:</w:t>
      </w:r>
    </w:p>
    <w:p>
      <w:r>
        <w:t xml:space="preserve">a) Aufwendungen für eine bereits vor Inkrafttreten dieses Staatsvertrages aufgenommene Versicherung in der gesetzlichen Rentenversicherung. Entsprechendes gilt für die Aufwendungen zu einer Lebensversicherung, aufgrund deren nach früherem Recht die Befreiung von der Versicherungspflicht in der gesetzlichen Rentenversicherung ausgesprochen worden ist. Die Aufwendungen und der Beginn der Versicherung sowie bei der Lebensversicherung der Befreiungsbescheid des gesetzlichen Rentenversicherungsträgers sind auf Verlangen der Bayerischen Versicherungskammer nachzuweisen.</w:t>
      </w:r>
    </w:p>
    <w:p>
      <w:r>
        <w:t xml:space="preserve">b) Aufwendungen für eine Lebensversicherung im Sinne des § 3 Abs. 1 Nr. 7, wenn eine Befreiung von der Mitgliedschaft nicht beantragt wurde oder wenn die vertragliche Versicherungssumme nicht 100 000 DM, mindestens jedoch 50 000 DM beträgt; entsprechendes gilt für eine gleichwertige Versicherung auf Rentenbasis im Sinne des § 3 Abs. 1 Nr. 7 Buchst. b. Für den Nachweis der Versicherung und für die Zahlung der Erstprämie und deren Nachweis gilt § 3 Abs. 1 Nr. 7 entsprechend. Die Zahlung der Folgeprämien ist auf Verlangen der Bayerischen Versicherungskammer ebenfalls nachzuweisen. Die Folgeprämien können nur in Höhe der Erstprämie berücksichtigt werden, die dem bis zum 31. Dezember 1976 vertraglich vereinbarten Versicherungsumfang entspricht, es sei denn, daß im Versicherungsvertrag bereits damals eine zu bestimmten Zeitpunkten ansteigende Prämienzahlung fest vereinbart war.</w:t>
      </w:r>
    </w:p>
    <w:p>
      <w:r>
        <w:t xml:space="preserve">2. Die Vorschriften der Satzung der Bayerischen Architektenversorgung über eine Beitragsermäßigung aufgrund einer Lebensversicherung gelten nicht.</w:t>
      </w:r>
    </w:p>
    <w:p>
      <w:r>
        <w:t xml:space="preserve">(2) Liegt eine der Voraussetzungen des § 3 Abs. 1 Nrn. 4 bis 7 vor, so ist auf schriftlichen Antrag statt des Beitrags nach Absatz 1 nur der in der Satzung der Bayerischen Architektenversorgung vorgesehene Mindestbeitrag zu zahlen, wenn eine Befreiung von der Mitgliedschaft nicht beantragt wurde.</w:t>
      </w:r>
    </w:p>
    <w:p>
      <w:r>
        <w:t xml:space="preserve">(3) Der Antrag auf Beitragsermäßigung aufgrund einer Lebensversicherung muß bei der Bayerischen Versicherungskammer spätestens innerhalb von zehn Monaten nach Inkrafttreten dieses Staatsvertrages eingegangen sein. Wird die Mitgliedschaft bei der Bayerischen Architektenversorgung nach § 2 Abs. 2 begründet, so beginnt die in Satz 1 genannte Frist mit dem Wegfall der vorübergehenden Berufsunfähigkeit.</w:t>
      </w:r>
    </w:p>
    <w:p>
      <w:r>
        <w:rPr>
          <w:color w:val="555555"/>
          <w:sz w:val="17"/>
        </w:rPr>
        <w:t xml:space="preserve">Zitiervorschlag: § 4 BayNdsArchVersStV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https://recht.nulegal.eu/gesetze/BayNdsArchVersStV/4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