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BayNdsArchVersStV (Bayern) — Anwendbare Vorschriften</w:t>
      </w:r>
    </w:p>
    <w:p>
      <w:r>
        <w:rPr>
          <w:color w:val="555555"/>
          <w:sz w:val="18"/>
        </w:rPr>
        <w:t xml:space="preserve">Staatsvertrag zwischen dem Freistaat Bayern und dem Land Niedersachsen über die Zugehörigkeit der freischaffenden (freiberuflich tätigen) und beamteten Architekten des Landes Niedersachsen zur Bayerischen Architektenversorgung Vom 23. Oktober/24. November 1978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für die Bayerische Architektenversorgung maßgeblichen Bestimmungen des bayerischen Gesetzes über das öffentliche Versorgungswesen vom 25. Juni 1994 (BayRS 763-1-I, BayGVBl S. 466) in der jeweils geltenden Fassung im Land Niedersachsen entsprechend. Für das Verwaltungsverfahren ist das Recht des Sitzlandes entsprechend anzuwenden.</w:t>
      </w:r>
    </w:p>
    <w:p>
      <w:r>
        <w:t xml:space="preserve">(2) Die Bayerische Architektenversorgung hat das Recht, die von ihr erlassenen Verwaltungsakte im Land Niedersachsen zu vollstrecken. Das Verfahren richtet sich nach dem Niedersächsischen Verwaltungsvollstreckungsgesetz in der jeweils geltenden Fassung; § 12 Abs. 4 des Niedersächsischen Architektengesetzes findet entsprechende Anwendung.</w:t>
      </w:r>
    </w:p>
    <w:p>
      <w:r>
        <w:rPr>
          <w:color w:val="555555"/>
          <w:sz w:val="17"/>
        </w:rPr>
        <w:t xml:space="preserve">Zitiervorschlag: Art 2 BayNdsArchVersStV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https://recht.nulegal.eu/gesetze/BayNdsArchVersStV/2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