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BayNdsArchVersStV (Bayern) — Inkrafttreten, Veröffentlichung der Satzung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tritt am ersten Tag des Monats in Kraft, der auf den Austausch der Ratifikationsurkunden folgt.</w:t>
      </w:r>
    </w:p>
    <w:p>
      <w:r>
        <w:t xml:space="preserve">(2) Abweichend von Absatz 1 tritt Art. 5 Abs. 1 Satz 1 am 1. Januar 1983 in Kraft. Bis zu diesem Zeitpunkt stellen die Mitglieder aus dem Land Niedersachsen drei Mitglieder im Landesausschuß. Die vorgenannte Zahl kann durch die Satzung der Bayerischen Architektenversorgung erhöht werden.</w:t>
      </w:r>
    </w:p>
    <w:p>
      <w:r>
        <w:t xml:space="preserve">(3) Die Satzung der Bayerischen Architektenversorgung ist in der im Zeitpunkt des Inkrafttretens dieses Staatsvertrages geltenden Fassung unter Hinweis auf den Staatsvertrag im amtlichen Bekanntmachungsblatt der Architektenkammer Niedersachsen bekanntzugeben.</w:t>
      </w:r>
    </w:p>
    <w:p>
      <w:r>
        <w:rPr>
          <w:color w:val="555555"/>
          <w:sz w:val="17"/>
        </w:rPr>
        <w:t xml:space="preserve">Zitiervorschlag: Art 13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