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BayNdsArchVStV (Bayern) — Kündigung des Staatsvertrags</w:t>
      </w:r>
    </w:p>
    <w:p>
      <w:r>
        <w:rPr>
          <w:color w:val="555555"/>
          <w:sz w:val="18"/>
        </w:rPr>
        <w:t xml:space="preserve">Staatsvertrag zwischen dem Freistaat Bayern und dem Land Niedersachsen über die Einbeziehung der angestellten und baugewerblich tätigen Architekten des Landes Niedersachsen in die Bayerische Architektenversorgung Vom 22. Januar/6. Februar 1986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Dieser Staatsvertrag und der Staatsvertrag vom 23. Oktober/24. November 1978 können nur gemeinsam gekündigt werden. Für die Kündigung und ihre Rechtsfolgen gilt Art. 10 des Staatsvertrags vom 23. Oktober/24. November 1978.</w:t>
      </w:r>
    </w:p>
    <w:p>
      <w:r>
        <w:rPr>
          <w:color w:val="555555"/>
          <w:sz w:val="17"/>
        </w:rPr>
        <w:t xml:space="preserve">Zitiervorschlag: Art 3 BayNdsArchVStV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https://recht.nulegal.eu/gesetze/BayNdsArchVStV/3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