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BayNdsArchVStV (Bayern) — Allgemeine Bestimmungen</w:t>
      </w:r>
    </w:p>
    <w:p>
      <w:r>
        <w:rPr>
          <w:color w:val="555555"/>
          <w:sz w:val="18"/>
        </w:rPr>
        <w:t xml:space="preserve">Staatsvertrag zwischen dem Freistaat Bayern und dem Land Niedersachsen über die Einbeziehung der angestellten und baugewerblich tätigen Architekten des Landes Niedersachsen in die Bayerische Architektenversorgung Vom 22. Januar/6. Februar 1986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Artikel 2 und 3, Artikel 5 bis 8 und Art. 12 des Staatsvertrags vom 23. Oktober/24. November 1978 gelten entsprechend mit folgenden Maßgaben:</w:t>
      </w:r>
    </w:p>
    <w:p>
      <w:r>
        <w:t xml:space="preserve">1. Stichtag gemäß Art. 3 § 2 Abs. 1 ist der 31. Dezember 1932.</w:t>
      </w:r>
    </w:p>
    <w:p>
      <w:r>
        <w:t xml:space="preserve">2. Stichtag gemäß Art. 3 § 3 Abs. 1 Nr. 7 ist für den Abschluß des Versicherungsvertrags der 30. September 1985, für die Zahlung der Erstprämie der 31. Oktober 1985; die maßgebliche Versicherungssumme beträgt 150 000 DM.</w:t>
      </w:r>
    </w:p>
    <w:p>
      <w:r>
        <w:t xml:space="preserve">3. Die Ausschlußfrist gemäß Art. 3 § 3 Abs. 2 Satz 1 beträgt zwölf Monate.</w:t>
      </w:r>
    </w:p>
    <w:p>
      <w:r>
        <w:t xml:space="preserve">4. Die maßgebliche Versicherungssumme gemäß Art. 3 § 4 Abs. 1 Nr. 1 Buchst. b beträgt 150 000 DM bzw. 75 000 DM; Stichtag ist der 30. September 1985.</w:t>
      </w:r>
    </w:p>
    <w:p>
      <w:r>
        <w:t xml:space="preserve">5. Die Ausschlußfrist gemäß Art. 3 § 4 Abs. 3 beträgt zwölf Monate.</w:t>
      </w:r>
    </w:p>
    <w:p>
      <w:r>
        <w:rPr>
          <w:color w:val="555555"/>
          <w:sz w:val="17"/>
        </w:rPr>
        <w:t xml:space="preserve">Zitiervorschlag: Art 2 BayNdsArchVStV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https://recht.nulegal.eu/gesetze/BayNdsArchVStV/2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