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BayNdsArchVStV (Bayern) — Mitgliedschaft</w:t>
      </w:r>
    </w:p>
    <w:p>
      <w:r>
        <w:rPr>
          <w:color w:val="555555"/>
          <w:sz w:val="18"/>
        </w:rPr>
        <w:t xml:space="preserve">Staatsvertrag zwischen dem Freistaat Bayern und dem Land Niedersachsen über die Einbeziehung der angestellten und baugewerblich tätigen Architekten des Landes Niedersachsen in die Bayerische Architektenversorgung Vom 22. Januar/6. Februar 1986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Mitglieder der Bayerischen Architektenversorgung sind über den im Staatsvertrag vom 23. Oktober/24. November 1978 erfaßten Personenkreis hinaus auch diejenigen nicht berufsunfähigen Mitglieder der Architektenkammer Niedersachsen, die in der von dieser geführten Architektenliste als angestellte oder baugewerblich tätige Architekten eingetragen sind.</w:t>
      </w:r>
    </w:p>
    <w:p>
      <w:r>
        <w:t xml:space="preserve">(2) Mitglieder der Bayerischen Architektenversorgung sind auch diejenigen nicht berufsunfähigen Personen, die in der Liste der Juniormitglieder nach § 18 Abs. 1 des Niedersächsischen Architektengesetzes (NArchtG) vom 25. September 2017 (Nds. GVBl. S. 356), zuletzt geändert durch Artikel 1 des Gesetzes vom 10. November 2021 (Nds. GVBl. S. 739), in der jeweils geltenden Fassung eingetragen sind.</w:t>
      </w:r>
    </w:p>
    <w:p>
      <w:r>
        <w:t xml:space="preserve">(3) Ausnahmen und Befreiungen bestimmen sich nach Art. 2 dieses Staatsvertrags in Verbindung mit Art. 3 des Staatsvertrags vom 23. Oktober/24. November 1978 und nach der Satzung der Bayerischen Architektenversorgung.</w:t>
      </w:r>
    </w:p>
    <w:p>
      <w:r>
        <w:t xml:space="preserve">(4) Art. 1 Abs. 2 des Staatsvertrags vom 23. Oktober/24. November 1978 gilt entsprechend.</w:t>
      </w:r>
    </w:p>
    <w:p>
      <w:r>
        <w:rPr>
          <w:color w:val="555555"/>
          <w:sz w:val="17"/>
        </w:rPr>
        <w:t xml:space="preserve">Zitiervorschlag: Art 1 BayNdsArchVStV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https://recht.nulegal.eu/gesetze/BayNdsArchVStV/1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