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BayNatSchnoedV (Bayern) — Entschädigung, Erschwernisausgleich</w:t>
      </w:r>
    </w:p>
    <w:p>
      <w:r>
        <w:rPr>
          <w:color w:val="555555"/>
          <w:sz w:val="18"/>
        </w:rPr>
        <w:t xml:space="preserve">Verordnung über das Naturschutzgebiet „Donaualtwasser Schnödhof“</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diese Verordnung oder die auf Grund dieser Verordnung getroffenen behördlichen Maßnahmen eine Enteignung darstellen oder einer solchen gleichkommen, insbesondere weil sie eine wesentliche Nutzungsbeschränkung darstellen, ist Entschädigung gemäß Art. 36 BayNatSchG zu leisten.</w:t>
      </w:r>
    </w:p>
    <w:p>
      <w:r>
        <w:t xml:space="preserve">(2) Die Vorschrift des Art. 36a BayNatSchG über Erschwernisausgleich bei Feuchtflächen bleibt unberührt.</w:t>
      </w:r>
    </w:p>
    <w:p>
      <w:r>
        <w:rPr>
          <w:color w:val="555555"/>
          <w:sz w:val="17"/>
        </w:rPr>
        <w:t xml:space="preserve">Zitiervorschlag: § 7 BayNatSchnoedV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https://recht.nulegal.eu/gesetze/BayNatSchnoedV/7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