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BayNatSchnoedV (Bayern) — Schutzgegenstand</w:t>
      </w:r>
    </w:p>
    <w:p>
      <w:r>
        <w:rPr>
          <w:color w:val="555555"/>
          <w:sz w:val="18"/>
        </w:rPr>
        <w:t xml:space="preserve">Verordnung über das Naturschutzgebiet „Donaualtwasser Schnödhof“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Das Altwasser einschließlich der weiteren Uferzonen südlich der Donaustufe Bertoldsheim wird unter der Bezeichnung „Donaualtwasser Schnödhof“ in den in § 2 näher bezeichneten Grenzen als Naturschutzgebiet geschützt.</w:t>
      </w:r>
    </w:p>
    <w:p>
      <w:r>
        <w:rPr>
          <w:color w:val="555555"/>
          <w:sz w:val="17"/>
        </w:rPr>
        <w:t xml:space="preserve">Zitiervorschlag: § 1 BayNatSchnoedV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https://recht.nulegal.eu/gesetze/BayNatSchnoedV/1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