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BayNatSchG (Bayern)</w:t>
      </w:r>
    </w:p>
    <w:p>
      <w:r>
        <w:rPr>
          <w:color w:val="555555"/>
          <w:sz w:val="18"/>
        </w:rPr>
        <w:t xml:space="preserve">Bayerisches Naturschutzgesetz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Landtag des Freistaates Bayern hat das folgende Gesetz beschlossen, das hiermit bekannt gemacht wird:</w:t>
      </w:r>
    </w:p>
    <w:p>
      <w:r>
        <w:rPr>
          <w:color w:val="555555"/>
          <w:sz w:val="17"/>
        </w:rPr>
        <w:t xml:space="preserve">Zitiervorschlag: Eingangsformel BayNatSchG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https://recht.nulegal.eu/gesetze/BayNatSchG/eingangsformel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