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61 BayNatSchG (Bayern) — Inkrafttreten</w:t>
      </w:r>
    </w:p>
    <w:p>
      <w:r>
        <w:rPr>
          <w:color w:val="555555"/>
          <w:sz w:val="18"/>
        </w:rPr>
        <w:t xml:space="preserve">Bayerisches Naturschutzgesetz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Dieses Gesetz tritt am 1. März 2011 in Kraft.</w:t>
      </w:r>
    </w:p>
    <w:p>
      <w:r>
        <w:rPr>
          <w:color w:val="555555"/>
          <w:sz w:val="17"/>
        </w:rPr>
        <w:t xml:space="preserve">Zitiervorschlag: Art 61 BayNatSchG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https://recht.nulegal.eu/gesetze/BayNatSchG/61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