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BayNatSchG (Bayern) — Wegebau im Alpengebiet; genehmigungsfreie Eingriffe; Land-, Forst- und Fischereiwirtschaft (Art. 6 Abs. 1 bis 3 abweichend von § 17 Abs. 3 BNatSchG; Art. 6 Abs. 4 abweichend von § 14 Abs. 2 BNatSchG; Art. 6 Abs. 5 abweichend von § 14 Abs. 3 BNatSchG)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Alpengebiet im Sinn der Verordnung über das Landesentwicklungsprogramm Bayern ist die Errichtung oder wesentliche Änderung von Straßen und befahrbaren Wegen, die keiner öffentlich-rechtlichen Gestattung bedarf, mindestens drei Monate vorher der unteren Naturschutzbehörde anzuzeigen. Anordnungen nach § 15 BNatSchG sind nur innerhalb von drei Monaten nach der Anzeige zulässig.</w:t>
      </w:r>
    </w:p>
    <w:p>
      <w:r>
        <w:t xml:space="preserve">(2) Ein Eingriff, der nicht von einer Behörde durchgeführt wird und der keiner behördlichen Zulassung oder Anzeige nach anderen Rechtsvorschriften bedarf, kann untersagt werden, wenn erhebliche Beeinträchtigungen von Natur und Landschaft vermeidbar oder unvermeidbare erhebliche Beeinträchtigungen nicht im erforderlichen Maß auszugleichen oder zu ersetzen sind und die Belange des Naturschutzes und der Landschaftspflege bei Abwägung aller Anforderungen an Natur und Landschaft im Rang vorgehen. Die Durchführung des Eingriffs kann vorläufig eingestellt werden, wenn erhebliche Beeinträchtigungen zu erwarten sind. Es können die Wiederherstellung des ursprünglichen Zustands oder, soweit diese nur mit unverhältnismäßigem Aufwand möglich ist, Maßnahmen nach § 15 BNatSchG angeordnet werden.</w:t>
      </w:r>
    </w:p>
    <w:p>
      <w:r>
        <w:t xml:space="preserve">(3) Auf Antrag des Verursachers eines Eingriffs wird ein Genehmigungsverfahren nach § 17 Abs. 3 BNatSchG durchgeführt.</w:t>
      </w:r>
    </w:p>
    <w:p>
      <w:r>
        <w:t xml:space="preserve">(4) Die land-, forst- und fischereiwirtschaftliche Bodennutzung ist ordnungsgemäß und nicht als Eingriff anzusehen, soweit dabei die Ziele des Naturschutzes und der Landschaftspflege berücksichtigt werden. Die den in Art. 3 Abs. 2 genannten Anforderungen sowie den Regeln der guten fachlichen Praxis, die sich aus dem Recht der Land-, Forst- und Fischereiwirtschaft und § 17 Abs. 2 BBodSchG ergeben, entsprechende land-, forst- und fischereiwirtschaftliche Bodennutzung widerspricht in der Regel nicht den in Satz 1 genannten Zielen. Als ordnungsgemäß gilt die nach dem Waldgesetz für Bayern zulässige und vorgeschriebene Waldbewirtschaftung.</w:t>
      </w:r>
    </w:p>
    <w:p>
      <w:r>
        <w:t xml:space="preserve">(5) Nicht als Eingriff gilt die Wiederaufnahme einer land-, forst- und fischereiwirtschaftlichen Bodennutzung, wenn sie zeitweise eingeschränkt oder unterbrochen war</w:t>
      </w:r>
    </w:p>
    <w:p>
      <w:r>
        <w:t xml:space="preserve">1. auf Grund vertraglicher Vereinbarungen oder auf Grund der Teilnahme an öffentlichen Programmen zur Bewirtschaftungsbeschränkung und wenn die Wiederaufnahme innerhalb von fünfzehn Jahren nach Auslaufen der Einschränkung oder Unterbrechung erfolgt,</w:t>
      </w:r>
    </w:p>
    <w:p>
      <w:r>
        <w:t xml:space="preserve">2. auf Grund der Durchführung von vorgezogenen Kompensationsmaßnahmen, die vorgezogene Maßnahme aber nicht für eine Kompensation in Anspruch genommen wird.</w:t>
      </w:r>
    </w:p>
    <w:p>
      <w:r>
        <w:rPr>
          <w:color w:val="555555"/>
          <w:sz w:val="17"/>
        </w:rPr>
        <w:t xml:space="preserve">Zitiervorschlag: Art 6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BayNatSchG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