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5b BayNatSchG (Bayern) — Bayerisches Vertragsnaturschutzprogramm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Zur kooperativen Umsetzung natur- und artenschutzfachlicher Ziele kann im Rahmen der verfügbaren Haushaltsmittel die natur- und artenschutzverträgliche Bewirtschaftung und Pflege von</w:t>
      </w:r>
    </w:p>
    <w:p>
      <w:r>
        <w:t xml:space="preserve">1. Natura 2000-Gebieten, Naturschutzgebieten, Nationalparken, Biosphärenreservaten, gesetzlich geschützten Biotopen, Streuobstbeständen und Wiesenbrütergebieten,</w:t>
      </w:r>
    </w:p>
    <w:p>
      <w:r>
        <w:t xml:space="preserve">2. nationalen Naturmonumenten, Naturdenkmälern und geschützten Landschaftsbestandteilen,</w:t>
      </w:r>
    </w:p>
    <w:p>
      <w:r>
        <w:t xml:space="preserve">3. Flächen mit Vorkommen geschützter oder gefährdeter Arten,</w:t>
      </w:r>
    </w:p>
    <w:p>
      <w:r>
        <w:t xml:space="preserve">4. Flächen zum Aufbau des Biotopverbunds nach Art. 19 Abs. 1 und</w:t>
      </w:r>
    </w:p>
    <w:p>
      <w:r>
        <w:t xml:space="preserve">5. Gewässerrandstreifen,</w:t>
      </w:r>
    </w:p>
    <w:p>
      <w:r>
        <w:t xml:space="preserve">oder eine besonders naturverträgliche Weidetierhaltung gefördert werden.</w:t>
      </w:r>
    </w:p>
    <w:p>
      <w:r>
        <w:rPr>
          <w:color w:val="555555"/>
          <w:sz w:val="17"/>
        </w:rPr>
        <w:t xml:space="preserve">Zitiervorschlag: Art 5b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https://recht.nulegal.eu/gesetze/BayNatSchG/5b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