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55 BayNatSchG (Bayern) — Datenschutz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Naturschutzbehörden, das Landesamt für Umwelt und der Naturschutzfonds dürfen personenbezogene Daten erheben, soweit dies zur Erfüllung ihrer Aufgaben nach diesem Gesetz oder nach anderen Rechtsvorschriften erforderlich ist.</w:t>
      </w:r>
    </w:p>
    <w:p>
      <w:r>
        <w:t xml:space="preserve">(2) Die Information nach Art. 14 der Verordnung (EU) 2016/679 (Datenschutz-Grundverordnung) kann durch ortsübliche Bekanntmachung in der Gemeinde erfolgen.</w:t>
      </w:r>
    </w:p>
    <w:p>
      <w:r>
        <w:t xml:space="preserve">(3) Bewirtschaftungspläne nach § 32 Abs. 5 BNatSchG werden flurstücksbezogen oder nach Koordinaten in geeigneter Weise veröffentlicht.</w:t>
      </w:r>
    </w:p>
    <w:p>
      <w:r>
        <w:rPr>
          <w:color w:val="555555"/>
          <w:sz w:val="17"/>
        </w:rPr>
        <w:t xml:space="preserve">Zitiervorschlag: Art 55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https://recht.nulegal.eu/gesetze/BayNatSchG/55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