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53 BayNatSchG (Bayern) — Kennzeichnung der Schutzgegenstände</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Schutzgegenstände sollen durch die unteren Naturschutzbehörden in der Natur in geeigneter Weise kenntlich gemacht werden. Neben der Anbringung des von der obersten Naturschutzbehörde bestimmten amtlichen Schilds soll nach Möglichkeit auf die Bedeutung des Schutzgegenstands und auf die wichtigsten Bestimmungen der Rechtsverordnung hingewiesen werden. Grundeigentümer oder sonstige Berechtigte haben die Aufstellung von Schildern zu dulden. Bei der Aufstellung ist auf die Grundstücksnutzung Rücksicht zu nehmen.</w:t>
      </w:r>
    </w:p>
    <w:p>
      <w:r>
        <w:t xml:space="preserve">(2) Für Rechtsverordnungen nach Art. 31 gelten Abs. 1 Sätze 1, 3 und 4 sinngemäß.</w:t>
      </w:r>
    </w:p>
    <w:p>
      <w:r>
        <w:rPr>
          <w:color w:val="555555"/>
          <w:sz w:val="17"/>
        </w:rPr>
        <w:t xml:space="preserve">Zitiervorschlag: Art 53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https://recht.nulegal.eu/gesetze/BayNatSchG/53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