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52 BayNatSchG (Bayern) — Verfahren zur Inschutznahme</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Entwürfe der Rechtsverordnungen nach Teil 3 sind mit Karten, aus denen sich die Grenzen des Schutzgegenstands ergeben, den beteiligten Stellen, Gemeinden und Landkreisen zur Stellungnahme zuzuleiten.</w:t>
      </w:r>
    </w:p>
    <w:p>
      <w:r>
        <w:t xml:space="preserve">(2) Die Entwürfe der Rechtsverordnungen sind mit den Karten auf die Dauer eines Monats öffentlich in den davon betroffenen Gemeinden und Landkreisen auszulegen. Ort und Dauer der Auslegung sind mindestens eine Woche vorher ortsüblich bekannt zu machen mit dem Hinweis, dass Bedenken und Anregungen während der Auslegungsfrist vorgebracht werden können.</w:t>
      </w:r>
    </w:p>
    <w:p>
      <w:r>
        <w:t xml:space="preserve">(3) Vor dem Erlass von Rechtsverordnungen zum Schutz von Naturdenkmälern (§ 28 BNatSchG) und Landschaftsbestandteilen (§ 29 BNatSchG) sind die betroffenen Grundeigentümer und sonstigen Berechtigten zu hören. Im Übrigen kann das Verfahren nach Abs. 1 und 2 durch Anhörung der Gemeinde und der betroffenen Fachbehörden und -stellen ersetzt werden. Sätze 1 und 2 gelten nicht für Verordnungen nach § 29 Abs. 1 Satz 2 BNatSchG zum Schutz von Bäumen und Sträuchern.</w:t>
      </w:r>
    </w:p>
    <w:p>
      <w:r>
        <w:t xml:space="preserve">(4) Die für den Erlass der Rechtsverordnung zuständige Naturschutzbehörde oder Körperschaft prüft die fristgemäß vorgebrachten Bedenken und Anregungen und teilt das Ergebnis den Betroffenen mit.</w:t>
      </w:r>
    </w:p>
    <w:p>
      <w:r>
        <w:t xml:space="preserve">(5) Wird eine Rechtsverordnung oder nach dem Verfahren nach Abs. 1 bis 3 der Entwurf einer Rechtsverordnung erheblich geändert, so ist das Verfahren nach Abs. 1 bis 4 zu wiederholen. Bei unerheblichen Änderungen kann von dem Verfahren nach Abs. 1 bis 3 abgesehen werden, wenn die Belange anderer nicht berührt werden oder wenn die betroffenen Berechtigten und Stellen angehört wurden.</w:t>
      </w:r>
    </w:p>
    <w:p>
      <w:r>
        <w:t xml:space="preserve">(6) Für das Verfahren zur Inschutznahme können auch Karten und Texte in unveränderlicher digitaler Form verwendet werden. Eine ausreichende Möglichkeit zur Einsichtnahme muss gewährleistet sein.</w:t>
      </w:r>
    </w:p>
    <w:p>
      <w:r>
        <w:t xml:space="preserve">(7) Eine Verletzung der Vorschriften der Abs. 1 bis 6 ist unbeachtlich, wenn sie nicht innerhalb eines Jahres nach der Bekanntmachung der Rechtsverordnung schriftlich unter Angabe der Tatsachen, die die Verletzung begründen sollen, bei der für den Erlass zuständigen Behörde geltend gemacht wird. Bei der Bekanntmachung der Verordnung ist auf die Rechtsfolge nach Satz 1 hinzuweisen.</w:t>
      </w:r>
    </w:p>
    <w:p>
      <w:r>
        <w:rPr>
          <w:color w:val="555555"/>
          <w:sz w:val="17"/>
        </w:rPr>
        <w:t xml:space="preserve">Zitiervorschlag: Art 52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https://recht.nulegal.eu/gesetze/BayNatSchG/52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