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51 BayNatSchG (Bayern) — Zuständigkeit für den Erlass von Rechtsverordnungen</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Zuständig sind</w:t>
      </w:r>
    </w:p>
    <w:p>
      <w:r>
        <w:t xml:space="preserve">1. die Staatsregierung für den Erlass von Rechtsverordnungen über Nationalparke nach § 24 Abs. 1 und Nationale Naturmonumente nach § 24 Abs. 4 BNatSchG,</w:t>
      </w:r>
    </w:p>
    <w:p>
      <w:r>
        <w:t xml:space="preserve">2. die höheren Naturschutzbehörden für den Erlass von Rechtsverordnungen über Naturschutzgebiete nach § 23 BNatSchG,</w:t>
      </w:r>
    </w:p>
    <w:p>
      <w:r>
        <w:t xml:space="preserve">3. die Landkreise und kreisfreien Gemeinden für den Erlass von Rechtsverordnungen über Landschaftsschutzgebiete nach § 26 BNatSchG,</w:t>
      </w:r>
    </w:p>
    <w:p>
      <w:r>
        <w:t xml:space="preserve">4. die unteren Naturschutzbehörden für den Erlass von Rechtsverordnungen über Naturdenkmäler nach § 28 BNatSchG,</w:t>
      </w:r>
    </w:p>
    <w:p>
      <w:r>
        <w:t xml:space="preserve">5. für den Erlass von Rechtsverordnungen über geschützte Landschaftsbestandteile</w:t>
      </w:r>
    </w:p>
    <w:p>
      <w:r>
        <w:t xml:space="preserve">a) die Gemeinden zum Schutz des Bestands von Bäumen und Sträuchern ganz oder teilweise innerhalb der im Zusammenhang bebauten Ortsteile, soweit nicht die untere oder höhere Naturschutzbehörde von ihrem Verordnungsrecht nach Buchst. b oder c Gebrauch macht,</w:t>
      </w:r>
    </w:p>
    <w:p>
      <w:r>
        <w:t xml:space="preserve">b) die untere Naturschutzbehörde bei Schutzobjekten bis einschließlich 10 ha,</w:t>
      </w:r>
    </w:p>
    <w:p>
      <w:r>
        <w:t xml:space="preserve">c) im Übrigen die höhere Naturschutzbehörde.</w:t>
      </w:r>
    </w:p>
    <w:p>
      <w:r>
        <w:t xml:space="preserve">(2) Die Rechtsverordnungen erlassen die Gemeinden, Landkreise und Naturschutzbehörden, in deren Bereich der Schutzgegenstand liegt. Erstreckt sich ein Schutzgegenstand im Fall des Abs. 1 Nr. 2 über den Bereich mehrerer höherer Naturschutzbehörden, im Fall des Abs. 1 Nr. 4 über den Bereich mehrerer unterer Naturschutzbehörden, so wird die Rechtsverordnung von derjenigen Naturschutzbehörde erlassen, in deren Gebiet die größte Teilfläche des Schutzgegenstands liegt; die Rechtsverordnung ergeht im Einvernehmen mit den anderen betroffenen Naturschutzbehörden und ist auch von diesen amtlich bekannt zu machen. Im Fall des Abs. 1 Nr. 3 erlässt der Bezirk die Rechtsverordnung, wenn sich der Schutzgegenstand über den Bereich mehrerer Landkreise oder kreisfreier Gemeinden erstreckt; für Änderungen von Verordnungen, die sich ausschließlich auf das Gebiet eines Landkreises oder einer kreisfreien Gemeinde beziehen, ist der betroffene Landkreis oder die betroffene kreisfreie Gemeinde allein zuständig; die Änderungen sind auch vom Bezirk amtlich bekannt zu machen.</w:t>
      </w:r>
    </w:p>
    <w:p>
      <w:r>
        <w:rPr>
          <w:color w:val="555555"/>
          <w:sz w:val="17"/>
        </w:rPr>
        <w:t xml:space="preserve">Zitiervorschlag: Art 51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https://recht.nulegal.eu/gesetze/BayNatSchG/51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