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47 BayNatSchG (Bayern) — Bayerische Akademie für Naturschutz und Landschaftspflege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Es besteht eine Bayerische Akademie für Naturschutz und Landschaftspflege.</w:t>
      </w:r>
    </w:p>
    <w:p>
      <w:r>
        <w:t xml:space="preserve">(2) Die Akademie hat die Aufgabe, in Zusammenarbeit mit den Hochschulen, dem Landesamt für Umwelt und anderen geeigneten Einrichtungen</w:t>
      </w:r>
    </w:p>
    <w:p>
      <w:r>
        <w:t xml:space="preserve">1. die Durchführung von Forschungsaufgaben bei den dazu geeigneten wissenschaftlichen Einrichtungen anzuregen und zu unterstützen,</w:t>
      </w:r>
    </w:p>
    <w:p>
      <w:r>
        <w:t xml:space="preserve">2. durch Lehrgänge, Fortbildungskurse und Öffentlichkeitsarbeit den neuesten Stand der wissenschaftlichen Erkenntnisse im Bereich Naturschutz und Landschaftspflege zu vermitteln,</w:t>
      </w:r>
    </w:p>
    <w:p>
      <w:r>
        <w:t xml:space="preserve">3. den Austausch von Erkenntnissen und Erfahrungen zu betreiben,</w:t>
      </w:r>
    </w:p>
    <w:p>
      <w:r>
        <w:t xml:space="preserve">4. anwendungsorientierte ökologische Forschung zu betreiben.</w:t>
      </w:r>
    </w:p>
    <w:p>
      <w:r>
        <w:t xml:space="preserve">(3) Die Akademie untersteht der Aufsicht des Staatsministeriums für Umwelt und Verbraucherschutz. Das Nähere, insbesondere Rechtsform und Organisation, wird durch Rechtsverordnung der Staatsregierung geregelt.</w:t>
      </w:r>
    </w:p>
    <w:p>
      <w:r>
        <w:rPr>
          <w:color w:val="555555"/>
          <w:sz w:val="17"/>
        </w:rPr>
        <w:t xml:space="preserve">Zitiervorschlag: Art 47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https://recht.nulegal.eu/gesetze/BayNatSchG/47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