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Art 46 BayNatSchG (Bayern) — Bayerisches Landesamt für Umwelt</w:t>
      </w:r>
    </w:p>
    <w:p>
      <w:r>
        <w:rPr>
          <w:color w:val="555555"/>
          <w:sz w:val="18"/>
        </w:rPr>
        <w:t xml:space="preserve">Bayerisches Naturschutzgesetz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25.08.2026 (konsolidierte Textfassung, kein amtliches Inkrafttretensdatum)</w:t>
      </w:r>
    </w:p>
    <w:p>
      <w:r>
        <w:t xml:space="preserve">Unbeschadet sonstiger Vorschriften hat das Landesamt für Umwelt die Aufgabe,</w:t>
      </w:r>
    </w:p>
    <w:p>
      <w:r>
        <w:t xml:space="preserve">1. die Naturschutzbehörden fachlich zu beraten,</w:t>
      </w:r>
    </w:p>
    <w:p>
      <w:r>
        <w:t xml:space="preserve">2. bei der Durchführung von Schutz-, Pflege- und Gestaltungsmaßnahmen mitzuwirken,</w:t>
      </w:r>
    </w:p>
    <w:p>
      <w:r>
        <w:t xml:space="preserve">3. den Vogelschutz als staatliche Vogelschutzwarte wahrzunehmen,</w:t>
      </w:r>
    </w:p>
    <w:p>
      <w:r>
        <w:t xml:space="preserve">4. erhaltenswerte Biotope sowie Arten und deren Lebensräume zu erfassen und zu bewerten sowie die geeigneten Biotopverbundbestandteile zu ermitteln, Untersuchungen ökologisch bedeutsamer Flächen durchzuführen, Schutz- und Entwicklungskonzepte des Naturschutzes und der Landschaftspflege auf Grund von Bestandserfassungen wild lebender Tier- und Pflanzenarten eines bestimmten Gebiets zu erarbeiten und fortzuschreiben,</w:t>
      </w:r>
    </w:p>
    <w:p>
      <w:r>
        <w:t xml:space="preserve">5. Verzeichnisse der Schutzgebiete nach Art. 17 Abs. 2 Satz 2 Halbsatz 1 sowie der ökologisch bedeutsamen Flächen (Ökoflächenkataster), die laufend fortzuschreiben sind, zu führen,</w:t>
      </w:r>
    </w:p>
    <w:p>
      <w:r>
        <w:t xml:space="preserve">6. die Unterrichtung der Öffentlichkeit über die Aufgaben des Naturschutzes zu fördern,</w:t>
      </w:r>
    </w:p>
    <w:p>
      <w:r>
        <w:t xml:space="preserve">7. die Grundlagen und Daten für die Beobachtung von Natur und Landschaft zusammenzuführen,</w:t>
      </w:r>
    </w:p>
    <w:p>
      <w:r>
        <w:t xml:space="preserve">8. die Verbindung mit Naturschutzorganisationen und Institutionen des In- und Auslands zu pflegen,</w:t>
      </w:r>
    </w:p>
    <w:p>
      <w:r>
        <w:t xml:space="preserve">9. in Zusammenarbeit mit der Bayerischen Akademie für Naturschutz und Landschaftspflege die Forschung auf dem Gebiet des Naturschutzes und der Landschaftspflege zu fördern,</w:t>
      </w:r>
    </w:p>
    <w:p>
      <w:r>
        <w:t xml:space="preserve">10. bei der Aufstellung von Programmen und Plänen nach dem Bayerischen Landesplanungsgesetz, die der Verwirklichung der Zielsetzungen dieses Gesetzes dienen, mitzuwirken,</w:t>
      </w:r>
    </w:p>
    <w:p>
      <w:r>
        <w:t xml:space="preserve">11. Artenhilfsprogramme zu entwickeln,</w:t>
      </w:r>
    </w:p>
    <w:p>
      <w:r>
        <w:t xml:space="preserve">12. das Arten- und Biotopschutzprogramm nach Art. 19 aufzustellen und nach Bedarf fortzuentwickeln,</w:t>
      </w:r>
    </w:p>
    <w:p>
      <w:r>
        <w:t xml:space="preserve">13. in geeigneten Zeitabständen den Stand der wissenschaftlichen Erkenntnisse über ausgestorbene oder gefährdete heimische Tier- und Pflanzenarten (Rote Listen) darzustellen.</w:t>
      </w:r>
    </w:p>
    <w:p>
      <w:r>
        <w:rPr>
          <w:color w:val="555555"/>
          <w:sz w:val="17"/>
        </w:rPr>
        <w:t xml:space="preserve">Zitiervorschlag: Art 46 BayNatSchG (Bayern)</w:t>
      </w:r>
    </w:p>
    <w:p>
      <w:r>
        <w:rPr>
          <w:color w:val="555555"/>
          <w:sz w:val="17"/>
        </w:rPr>
        <w:t xml:space="preserve">Quelle: bayernrecht, abgerufen 25.08.2026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https://recht.nulegal.eu/gesetze/BayNatSchG/46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