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BayNatSchG (Bayern) — Erschwernisausgleich; Ausgleich von Nutzungsbeschränkungen in der Land-, Forst- und Fischereiwirtschaft</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Wird Eigentümern oder Nutzungsberechtigten durch eine Versagung der Ausnahme nach Art. 23 Abs. 3 oder der Befreiung nach § 67 Abs. 1 BNatSchG die bestehende land-, forst- oder fischereiwirtschaftliche Bewirtschaftung eines nach § 30 Abs. 2 Satz 1 BNatSchG oder nach Art. 23 Abs. 1 gesetzlich geschützten Biotops wesentlich erschwert, wird ihnen dafür nach Maßgabe der verfügbaren Haushaltsmittel ein angemessener Geldausgleich gewährt. Dieser Geldausgleich wird auch im Rahmen von vertraglichen Vereinbarungen oder der Teilnahme an Förderprogrammen gewährt, soweit Eigentümer oder Nutzungsberechtigte durch naturschonende Bewirtschaftung den ökologischen Wert des gesetzlich geschützten Biotops erhalten. Eigentümer oder Nutzungsberechtigte erhalten im Rahmen der verfügbaren Haushaltsmittel eine Förderung, soweit sie durch naturschonende Bewirtschaftung den ökologischen Wert von Streuobstwiesen bewahren.</w:t>
      </w:r>
    </w:p>
    <w:p>
      <w:r>
        <w:t xml:space="preserve">(2) Werden in Schutzgebietsverordnungen, die nach dem 19. Juli 1995 in Kraft getreten sind, oder werden in nach diesem Zeitpunkt erlassenen Anordnungen zum Schutz von Naturdenkmälern und geschützten Landschaftsbestandteilen und Grünbeständen erhöhte Anforderungen festgesetzt, die die ausgeübte, im Sinn des Art. 6 Abs. 4 ordnungsgemäße land-, forst- oder fischereiwirtschaftliche Bodennutzung eines Grundstücks beschränken, so ist für die dadurch verursachten wirtschaftlichen Nachteile ein angemessener Geldausgleich zu gewähren, soweit nicht eine Entschädigungspflicht nach § 68 Abs. 1 und 2 BNatSchG in Verbindung mit Art. 41 Abs. 1 besteht. Bei Beschränkungen durch Anordnungen in Natura 2000-Gebieten kann unter den Voraussetzungen von Satz 1 ein Geldausgleich gewährt werden. Das Nähere regelt die Staatsregierung durch Rechtsverordnung.</w:t>
      </w:r>
    </w:p>
    <w:p>
      <w:r>
        <w:rPr>
          <w:color w:val="555555"/>
          <w:sz w:val="17"/>
        </w:rPr>
        <w:t xml:space="preserve">Zitiervorschlag: Art 42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