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40 BayNatSchG (Bayern) — Enteignung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Zugunsten des Freistaates Bayern, der Bezirke, Landkreise, Gemeinden und der kommunalen Zweckverbände, die sich den Belangen des Naturschutzes, der Landschaftspflege und der öffentlichen Erholung widmen, kann enteignet werden</w:t>
      </w:r>
    </w:p>
    <w:p>
      <w:r>
        <w:t xml:space="preserve">1. zur Schaffung oder Änderung freier Zugänge zu Bergen, Gewässern und sonstigen landschaftlichen Schönheiten, von Wanderwegen, Erholungsparken, Ski- und Rodelabfahrten, Rad- und Reitwegen, Skiwanderwegen und Loipen, zur Bereitstellung von Gewässer- und Hinterliegergrundstücken für öffentliche Badeanlagen oder Uferwege, zur Anlage von Schutzhütten, Naturlehrpfaden, Spiel-, Park-, Rast- und Aussichtsplätzen, sanitären Einrichtungen oder</w:t>
      </w:r>
    </w:p>
    <w:p>
      <w:r>
        <w:t xml:space="preserve">2. wenn Gründe des Naturschutzes und der Landschaftspflege es zwingend erfordern.</w:t>
      </w:r>
    </w:p>
    <w:p>
      <w:r>
        <w:rPr>
          <w:color w:val="555555"/>
          <w:sz w:val="17"/>
        </w:rPr>
        <w:t xml:space="preserve">Zitiervorschlag: Art 40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https://recht.nulegal.eu/gesetze/BayNatSchG/40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