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BayNatSchG (Bayern) — Landschaftsplanung (Art. 4 Abs. 2 Satz 2 abweichend von § 11 Abs. 2 Satz 2 BNatSchG)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überörtlichen raumbedeutsamen Erfordernisse und Maßnahmen zur Verwirklichung der Ziele des Naturschutzes und der Landschaftspflege werden</w:t>
      </w:r>
    </w:p>
    <w:p>
      <w:r>
        <w:t xml:space="preserve">1. im Landschaftsprogramm als Teil des Landesentwicklungsprogramms,</w:t>
      </w:r>
    </w:p>
    <w:p>
      <w:r>
        <w:t xml:space="preserve">2. in Landschaftsrahmenplänen als Teile der Regionalpläne dargestellt.</w:t>
      </w:r>
    </w:p>
    <w:p>
      <w:r>
        <w:t xml:space="preserve">(2) Landschaftspläne sind Bestandteile der Flächennutzungspläne und Grünordnungspläne Bestandteile der Bebauungspläne. Grünordnungspläne sind von der Gemeinde aufzustellen, sobald und soweit dies aus Gründen des Naturschutzes und der Landschaftspflege erforderlich ist; sie können dabei auf Teile des Bebauungsplans beschränkt werden.</w:t>
      </w:r>
    </w:p>
    <w:p>
      <w:r>
        <w:t xml:space="preserve">(3) Ist ein Bauleitplan nicht erforderlich, gelten für das Verfahren zur Aufstellung von Landschafts- und Grünordnungsplänen sowie für die Genehmigung die Vorschriften für Bauleitpläne entsprechend. Der Landschaftsplan hat in diesem Fall die Rechtswirkung eines Flächennutzungsplans, der Grünordnungsplan die eines Bebauungsplans.</w:t>
      </w:r>
    </w:p>
    <w:p>
      <w:r>
        <w:rPr>
          <w:color w:val="555555"/>
          <w:sz w:val="17"/>
        </w:rPr>
        <w:t xml:space="preserve">Zitiervorschlag: Art 4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