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36 BayNatSchG (Bayern) — Eigentumsbindung und Enteignung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Grundeigentümer oder sonstige Berechtigte haben Beeinträchtigungen, die sich aus vorstehenden Vorschriften und unter Beachtung der Grundsätze des Art. 33 aus behördlichen Maßnahmen nach Art. 34 und 35 ergeben, als Eigentumsbindung im Sinn von Art. 14 Abs. 1 Satz 2 und Abs. 2 des Grundgesetzes und von Art. 103 Abs. 2 und Art. 158 Satz 1 der Verfassung entschädigungslos zu dulden.</w:t>
      </w:r>
    </w:p>
    <w:p>
      <w:r>
        <w:t xml:space="preserve">(2) Darüber hinaus können im Einzelfall die Errichtung von Sperren untersagt und Anordnungen nach Art. 34 Abs. 3 und Art. 35 Satz 2 getroffen werden, wenn die Absperrung eines Grundstücks nicht gegen Art. 33 verstößt, wenn aber die unbeschränkte oder beschränkte Zugänglichkeit im überwiegenden Interesse einer Vielzahl Erholungsuchender geboten ist. Grundeigentümern oder sonstigen Berechtigten ist eine Entschädigung zu gewähren; § 68 Abs. 1 und 2 BNatSchG in Verbindung mit Art. 41 Abs. 1 sind anzuwenden.</w:t>
      </w:r>
    </w:p>
    <w:p>
      <w:r>
        <w:t xml:space="preserve">(3) Die Beseitigung rechtmäßig errichteter baulicher Anlagen ist nach den Vorschriften dieses Teils nur gegen Entschädigung zulässig; § 68 Abs. 1 und 2 BNatSchG in Verbindung mit Art. 41 Abs. 1 sind anzuwenden.</w:t>
      </w:r>
    </w:p>
    <w:p>
      <w:r>
        <w:t xml:space="preserve">(4) Die Entschädigungspflicht nach Abs. 2 und 3 trifft den durch die Maßnahme Begünstigten. Bei Maßnahmen von überwiegend örtlicher Bedeutung sind die betroffenen Gebietskörperschaften, bei Maßnahmen von überwiegend überörtlicher Bedeutung ist der Freistaat Bayern begünstigt.</w:t>
      </w:r>
    </w:p>
    <w:p>
      <w:r>
        <w:t xml:space="preserve">(5) Soweit über die Entschädigung nach Abs. 2 und 3 keine Einigung zustande kommt, wird darüber auf Antrag eines Beteiligten durch die Behörde entschieden, auf deren Maßnahme die Entschädigungspflicht beruht. Die Beteiligten sind vor der Entscheidung zu hören. Im Übrigen gelten für das Verfahren Art. 30 Abs. 4, Art. 44 Abs. 1 und Art. 45 des Bayerischen Gesetzes über die entschädigungspflichtige Enteignung (BayEG) sinngemäß. Ergeht in angemessener Frist keine Entscheidung, so ist die Klage spätestens innerhalb eines Jahres nach Eingang des Antrags bei der Behörde zu erheben. Aus einer nicht mehr anfechtbaren behördlichen Entscheidung findet wegen der darin festgesetzten Entschädigung die Zwangsvollstreckung nach den Vorschriften der Zivilprozessordnung über die Vollstreckung von Urteilen in bürgerlichen Rechtsstreitigkeiten statt; Art. 38 Abs. 2 BayEG gilt sinngemäß.</w:t>
      </w:r>
    </w:p>
    <w:p>
      <w:r>
        <w:rPr>
          <w:color w:val="555555"/>
          <w:sz w:val="17"/>
        </w:rPr>
        <w:t xml:space="preserve">Zitiervorschlag: Art 36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