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34 BayNatSchG (Bayern) — Verfahren</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Bedarf die Errichtung einer Sperre im Sinn des Art. 27 Abs. 3 Satz 2 einer behördlichen Gestattung nach anderen Vorschriften, ist darüber unter Beachtung der Voraussetzungen des Abs. 2 Satz 1 im Benehmen mit der unteren Naturschutzbehörde zu entscheiden. Ist eine Gestattung nach anderen Vorschriften nicht erforderlich, so darf eine Sperre in der freien Natur nur errichtet werden, wenn dies der unteren Naturschutzbehörde mindestens einen Monat vorher angezeigt wurde. Sperren von Forstpflanzgärten, Forstkulturen und Sonderkulturen mit einer Fläche bis zu 5 ha bedürfen keiner Anzeige. Für kurzzeitige Sperrungen genügt eine unverzügliche Anzeige an die untere Naturschutzbehörde.</w:t>
      </w:r>
    </w:p>
    <w:p>
      <w:r>
        <w:t xml:space="preserve">(2) Die Errichtung der Sperre ist zu untersagen, wenn dies im gegenwärtigen oder absehbaren zukünftigen Interesse der erholungsuchenden Bevölkerung erforderlich ist und die Sperre den Voraussetzungen des Art. 33 widerspricht. Die Untersagung ist nur innerhalb von einem Monat nach der Anzeige zulässig.</w:t>
      </w:r>
    </w:p>
    <w:p>
      <w:r>
        <w:t xml:space="preserve">(3) Unbeschadet sonstiger Vorschriften über die Rücknahme und den Widerruf der Gestattung oder über eine Beseitigungsanordnung kann die untere Naturschutzbehörde die Beseitigung einer bereits bestehenden Sperre anordnen, wenn die Voraussetzungen vorliegen, unter denen nach Abs. 2 die Errichtung der Sperre untersagt werden müsste.</w:t>
      </w:r>
    </w:p>
    <w:p>
      <w:r>
        <w:rPr>
          <w:color w:val="555555"/>
          <w:sz w:val="17"/>
        </w:rPr>
        <w:t xml:space="preserve">Zitiervorschlag: Art 34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34 BayNatSchG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