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31 BayNatSchG (Bayern) — Beschränkungen der Erholung in der freien Natur</w:t>
      </w:r>
    </w:p>
    <w:p>
      <w:r>
        <w:rPr>
          <w:color w:val="555555"/>
          <w:sz w:val="18"/>
        </w:rPr>
        <w:t xml:space="preserve">Bayerisches Naturschutzgesetz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 untere oder höhere Naturschutzbehörde kann durch Rechtsverordnung oder Einzelanordnung die Erholung in Teilen der freien Natur im erforderlichen Umfang aus Gründen des Naturschutzes, zur Durchführung von landschaftspflegerischen Vorhaben, zur Regelung des Erholungsverkehrs oder aus anderen zwingenden Gründen des Gemeinwohls untersagen oder beschränken.</w:t>
      </w:r>
    </w:p>
    <w:p>
      <w:r>
        <w:t xml:space="preserve">(2) Inhalt von Beschränkungen für das Reiten kann insbesondere sein,</w:t>
      </w:r>
    </w:p>
    <w:p>
      <w:r>
        <w:t xml:space="preserve">1. das Reiten nur auf den durch die Behörde besonders dafür ausgewiesenen Wegen oder Flächen zu erlauben,</w:t>
      </w:r>
    </w:p>
    <w:p>
      <w:r>
        <w:t xml:space="preserve">2. das Reiten nur zu bestimmten Zeiten zu gestatten,</w:t>
      </w:r>
    </w:p>
    <w:p>
      <w:r>
        <w:t xml:space="preserve">3. für die Benutzung von Wegen und Flächen durch Reiter eine behördliche Genehmigung vorzusehen.</w:t>
      </w:r>
    </w:p>
    <w:p>
      <w:r>
        <w:t xml:space="preserve">(3) Die untere oder höhere Naturschutzbehörde kann zum Schutz des Erholungsverkehrs und des Eigentums durch Rechtsverordnung eine Kennzeichnung der Reitpferde vorschreiben.</w:t>
      </w:r>
    </w:p>
    <w:p>
      <w:r>
        <w:rPr>
          <w:color w:val="555555"/>
          <w:sz w:val="17"/>
        </w:rPr>
        <w:t xml:space="preserve">Zitiervorschlag: Art 31 BayNatSchG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https://recht.nulegal.eu/gesetze/BayNatSchG/31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