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BayNatSchG (Bayern) — Land-, Forst- und Fischereiwirtschaft (abweichend von § 5 BNatSchG)</w:t>
      </w:r>
    </w:p>
    <w:p>
      <w:r>
        <w:rPr>
          <w:color w:val="555555"/>
          <w:sz w:val="18"/>
        </w:rPr>
        <w:t xml:space="preserve">Bayerisches Naturschutzgesetz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Maßnahmen des Naturschutzes und der Landschaftspflege ist die besondere Bedeutung einer natur- und landschaftsverträglichen Land-, Forst- und Fischereiwirtschaft für die Erhaltung der Kultur- und Erholungslandschaft zu berücksichtigen.</w:t>
      </w:r>
    </w:p>
    <w:p>
      <w:r>
        <w:t xml:space="preserve">(2) Die Land- und Fischereiwirtschaft hat im Rahmen der guten fachlichen Praxis die Anforderungen der für sie geltenden Vorschriften, des § 17 Abs. 2 des Bundes-Bodenschutzgesetzes (BBodSchG), der sonstigen Vorschriften des Bundesnaturschutzgesetzes und dieses Gesetzes zu beachten. Die Forstwirtschaft hat die Vorschriften des Waldgesetzes für Bayern und die sonstigen für sie geltenden Regelungen zu beachten, wobei im Staatswald das vorrangige Ziel zu verfolgen ist, die biologische Vielfalt des Waldes zu erhalten oder zu erreichen. Dabei sollen die Nutz-, Schutz- und Erholungsfunktionen der Wälder erhalten bleiben.</w:t>
      </w:r>
    </w:p>
    <w:p>
      <w:r>
        <w:t xml:space="preserve">(3) Auf erosionsgefährdeten Hängen, in Überschwemmungsgebieten, auf Standorten mit hohem Grundwasserstand sowie auf Moorstandorten soll Grünland erhalten bleiben. Dazu sollen vorrangig vertragliche Vereinbarungen und Förderprogramme genutzt werden. § 17 Abs. 8 BNatSchG gilt entsprechend.</w:t>
      </w:r>
    </w:p>
    <w:p>
      <w:r>
        <w:t xml:space="preserve">(4) Bei der landwirtschaftlichen Nutzung ist es verboten</w:t>
      </w:r>
    </w:p>
    <w:p>
      <w:r>
        <w:t xml:space="preserve">1. Dauergrünland und Dauergrünlandbrachen umzuwandeln; davon unberührt bleibt die Umwandlung von Dauergrünland oder Dauergrünlandbrachen, die ab dem 1. Januar 2021 im Sinn des § 6 Satz 1 des GAP-Konditionalitäten-Gesetzes neu entstanden sind,</w:t>
      </w:r>
    </w:p>
    <w:p>
      <w:r>
        <w:t xml:space="preserve">2. den Grundwasserstand in Nass- und Feuchtgrünland sowie -brachen und auf Moor- und Anmoorstandorten abzusenken, davon unberührt bleiben bestehende Absenkungs- und Drainagemaßnahmen,</w:t>
      </w:r>
    </w:p>
    <w:p>
      <w:r>
        <w:t xml:space="preserve">3. Feldgehölze, Hecken, Säume, Baumreihen, Lesesteinhaufen, Natursteinmauern, natürliche Totholzansammlungen, Feldraine und Kleingewässer als naturbetonte Strukturelemente der Feldflur zu beeinträchtigen; eine solche Beeinträchtigung ist jede Schädigung oder Minderung der Substanz dieser Elemente, insbesondere das Unterpflügen oder Verfüllen; unberührt von diesem Verbot bleiben gewerbliche Anpflanzungen im Rahmen des Gartenbaus,</w:t>
      </w:r>
    </w:p>
    <w:p>
      <w:r>
        <w:t xml:space="preserve">4. Dauergrünlandpflegemaßnahmen durch umbrechende Verfahren wie Pflügen oder umbruchlose Verfahren wie Drill-, Schlitzoder Übersaat auf landwirtschaftlich genutzten Flächen, die als gesetzliche Biotope nach § 30 Abs. 2 Nr. 2 BNatSchG sowie nach Art. 23 Abs. 1 eingestuft sind, durchzuführen,</w:t>
      </w:r>
    </w:p>
    <w:p>
      <w:r>
        <w:t xml:space="preserve">5. bei der Mahd auf Grünlandflächen ab 1 Hektar von außen nach innen zu mähen, davon unberührt bleibt stark hängiges Gelände,</w:t>
      </w:r>
    </w:p>
    <w:p>
      <w:r>
        <w:t xml:space="preserve">6. ab dem Jahr 2020 auf 10 % der Grünlandflächen der Landesfläche Bayerns die erste Mahd vor dem 15. Juni durchzuführen,</w:t>
      </w:r>
    </w:p>
    <w:p>
      <w:r>
        <w:t xml:space="preserve">7. ab dem Jahr 2020 Grünlandflächen nach dem 15. März zu walzen und</w:t>
      </w:r>
    </w:p>
    <w:p>
      <w:r>
        <w:t xml:space="preserve">8. ab dem 1. Januar 2022 auf Dauergrünlandflächen flächenhaft Pflanzenschutzmittel einzusetzen.</w:t>
      </w:r>
    </w:p>
    <w:p>
      <w:r>
        <w:t xml:space="preserve">Dauergrünland im Sinne dieses Gesetzes sind alle auf natürliche Weise entstandenen Grünlandflächen sowie angelegte und dauerhaft als Wiese, Mähweide oder Weide genutzte Grünlandflächen und deren Brachen. Nicht auf Dauer angelegte Ackerfutterflächen sind kein Dauergrünland im Sinne dieses Gesetzes. Das in Satz 1 Nr. 6 für den Grünlandanteil der Landesfläche Bayerns insgesamt geregelte Schutzziel soll nach Maßgabe der verfügbaren Haushaltsmittel im Rahmen von vertraglichen Vereinbarungen oder der Teilnahme an Förderprogrammen auf Flächen einzelner Betriebe in allen Landesteilen umgesetzt werden.</w:t>
      </w:r>
    </w:p>
    <w:p>
      <w:r>
        <w:t xml:space="preserve">(5) Von dem Verbot des Abs. 4 Nr. 1 sind auf Antrag Ausnahmen zuzulassen, wenn die Beeinträchtigungen ausgeglichen werden. Von den Verboten des Abs. 4 Nrn. 2 bis 4 können auf Antrag Ausnahmen zugelassen werden, wenn die Beeinträchtigungen ausgeglichen oder ersetzt werden. Für die punktuelle Beseitigung giftiger, invasiver oder bei vermehrtem Auftreten für die Grünlandnutzung problematischen Pflanzenarten können von dem Verbot des Abs. 4 Nr. 8 auf Antrag Ausnahmen zugelassen werden.</w:t>
      </w:r>
    </w:p>
    <w:p>
      <w:r>
        <w:t xml:space="preserve">(6) Soweit auf Grund der örtlichen Witterungsverhältnisse voraussichtlich in einer erheblichen Zahl von Fällen die Voraussetzungen für die Erteilung einer Befreiung nach § 67 Abs. 1 Satz 1 BNatSchG gegeben wären, kann die Staatsregierung durch Rechtsverordnung gebietsbezogen gestatten, durch Allgemeinverfügung einen späteren als den in Abs. 4 Satz 1 Nr. 7 genannten Zeitpunkt zu bestimmen, ab dem Grünflächen nicht mehr gewalzt werden dürfen. Zuständig für den Erlass der Allgemeinverfügung sind die Regierungen. Hinsichtlich des Prüfungsmaßstabs gilt Satz 1 entsprechend.</w:t>
      </w:r>
    </w:p>
    <w:p>
      <w:r>
        <w:t xml:space="preserve">(7) Die Beseitigung von Unwetter-, Wild- und Weideschäden bleibt von den Verboten des Abs. 4 Satz 1 Nr. 4 und 7 unberührt.</w:t>
      </w:r>
    </w:p>
    <w:p>
      <w:r>
        <w:rPr>
          <w:color w:val="555555"/>
          <w:sz w:val="17"/>
        </w:rPr>
        <w:t xml:space="preserve">Zitiervorschlag: Art 3 BayNatSchG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