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27 BayNatSchG (Bayern) — Betretungsrecht; Gemeingebrauch an Gewässern</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Alle Teile der freien Natur, insbesondere Wald, Bergweide, Fels, Ödungen, Brachflächen, Auen, Uferstreifen und landwirtschaftlich genutzte Flächen, können von jedermann unentgeltlich betreten werden.</w:t>
      </w:r>
    </w:p>
    <w:p>
      <w:r>
        <w:t xml:space="preserve">(2) Das Betretungsrecht umfasst auch die Befugnisse nach Art. 28 und 29. Es ist beschränkt durch die allgemeinen Gesetze sowie durch Art. 30 bis 32 dieses Gesetzes.</w:t>
      </w:r>
    </w:p>
    <w:p>
      <w:r>
        <w:t xml:space="preserve">(3) Das Betretungsrecht kann von Grundeigentümern oder sonstigen Berechtigten nur unter den Voraussetzungen des Art. 33 verweigert werden. Das Betretungsrecht kann nicht ausgeübt werden, soweit Grundeigentümer oder sonstige Berechtigte das Betreten ihres Grundstücks durch für die Allgemeinheit geltende, deutlich sichtbare Sperren, insbesondere durch Einfriedungen, andere tatsächliche Hindernisse oder Beschilderungen untersagt haben. Beschilderungen sind jedoch nur wirksam, wenn sie auf einen gesetzlichen Grund hinweisen, der eine Beschränkung des Betretungsrechts rechtfertigt.</w:t>
      </w:r>
    </w:p>
    <w:p>
      <w:r>
        <w:t xml:space="preserve">(4) Der Gemeingebrauch an Gewässern bestimmt sich nach § 25 des Wasserhaushaltsgesetzes und Art. 18 des Bayerischen Wassergesetzes. Der Gemeingebrauch an öffentlichen Straßen bestimmt sich nach Art. 14 des Bayerischen Straßen- und Wegegesetzes sowie § 7 des Bundesfernstraßengesetzes.</w:t>
      </w:r>
    </w:p>
    <w:p>
      <w:r>
        <w:rPr>
          <w:color w:val="555555"/>
          <w:sz w:val="17"/>
        </w:rPr>
        <w:t xml:space="preserve">Zitiervorschlag: Art 27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https://recht.nulegal.eu/gesetze/BayNatSchG/27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